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A0D4" w14:textId="77777777" w:rsidR="002F4365" w:rsidRDefault="002F4365" w:rsidP="002F4365">
      <w:pPr>
        <w:overflowPunct w:val="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14:paraId="1928C53A" w14:textId="77777777" w:rsidR="002F4365" w:rsidRDefault="002F4365" w:rsidP="002F4365">
      <w:pPr>
        <w:overflowPunct w:val="0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4C22FE3D" w14:textId="77777777" w:rsidR="002F4365" w:rsidRDefault="002F4365" w:rsidP="002F4365">
      <w:pPr>
        <w:overflowPunct w:val="0"/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国家综合货运枢纽</w:t>
      </w:r>
      <w:proofErr w:type="gramStart"/>
      <w:r>
        <w:rPr>
          <w:rFonts w:ascii="Times New Roman" w:eastAsia="方正小标宋简体" w:hAnsi="Times New Roman"/>
          <w:sz w:val="44"/>
          <w:szCs w:val="44"/>
        </w:rPr>
        <w:t>补链强链技术</w:t>
      </w:r>
      <w:proofErr w:type="gramEnd"/>
      <w:r>
        <w:rPr>
          <w:rFonts w:ascii="Times New Roman" w:eastAsia="方正小标宋简体" w:hAnsi="Times New Roman"/>
          <w:sz w:val="44"/>
          <w:szCs w:val="44"/>
        </w:rPr>
        <w:t>指引</w:t>
      </w:r>
    </w:p>
    <w:p w14:paraId="75803E87" w14:textId="77777777" w:rsidR="002F4365" w:rsidRDefault="002F4365" w:rsidP="002F4365">
      <w:pPr>
        <w:overflowPunct w:val="0"/>
        <w:spacing w:line="580" w:lineRule="exact"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（暂行）</w:t>
      </w:r>
    </w:p>
    <w:p w14:paraId="53EBAF1D" w14:textId="77777777" w:rsidR="002F4365" w:rsidRDefault="002F4365" w:rsidP="002F4365">
      <w:pPr>
        <w:overflowPunct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13A9BEEF" w14:textId="77777777" w:rsidR="002F4365" w:rsidRDefault="002F4365" w:rsidP="002F4365">
      <w:pPr>
        <w:overflowPunct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为更好推进国家综合货运枢纽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补链强链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工作，根据《现代综合交通枢纽体系“十四五”发展规划》，提出技术指引如下：</w:t>
      </w:r>
    </w:p>
    <w:p w14:paraId="720E90AB" w14:textId="77777777" w:rsidR="002F4365" w:rsidRDefault="002F4365" w:rsidP="002F4365">
      <w:pPr>
        <w:overflowPunct w:val="0"/>
        <w:spacing w:line="580" w:lineRule="exact"/>
        <w:ind w:firstLineChars="200" w:firstLine="640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一、基础设施及装备硬联通</w:t>
      </w:r>
    </w:p>
    <w:p w14:paraId="33D0D2A7" w14:textId="77777777" w:rsidR="002F4365" w:rsidRDefault="002F4365" w:rsidP="002F4365">
      <w:pPr>
        <w:overflowPunct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（一）优化布局方面。</w:t>
      </w:r>
      <w:r>
        <w:rPr>
          <w:rFonts w:ascii="Times New Roman" w:eastAsia="仿宋_GB2312" w:hAnsi="Times New Roman"/>
          <w:sz w:val="32"/>
          <w:szCs w:val="32"/>
        </w:rPr>
        <w:t>枢纽城市（群）应结合在国家区域发展战略、国家综合立体交通网的功能定位，依据国土空间规划与产业发展需求，合理布局综合货运枢纽及集疏运体系，实现各运输方式统筹融合、一体化衔接，枢纽与集疏运体系能级匹配，枢纽与枢纽间协同互补。综合货运枢纽与周边经济技术开发区、高新技术产业开发区、边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跨境经济合作区等产业集群有效联动、发展枢纽经济。</w:t>
      </w:r>
    </w:p>
    <w:p w14:paraId="6D2E251C" w14:textId="77777777" w:rsidR="002F4365" w:rsidRDefault="002F4365" w:rsidP="002F4365">
      <w:pPr>
        <w:overflowPunct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（二）综合货运枢纽建设方面。</w:t>
      </w:r>
      <w:r>
        <w:rPr>
          <w:rFonts w:ascii="Times New Roman" w:eastAsia="仿宋_GB2312" w:hAnsi="Times New Roman"/>
          <w:sz w:val="32"/>
          <w:szCs w:val="32"/>
        </w:rPr>
        <w:t>围绕有效满足多式联运节点集散分拨需要，对现有仓储、堆场实施扩能改造，适当新建仓储、堆场，增加设施容量，加强各运输方式的有效衔接。综合货运枢纽应充分考虑邮政快递功能设置的需求。</w:t>
      </w:r>
    </w:p>
    <w:p w14:paraId="1E529836" w14:textId="77777777" w:rsidR="002F4365" w:rsidRDefault="002F4365" w:rsidP="002F4365">
      <w:pPr>
        <w:overflowPunct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——</w:t>
      </w:r>
      <w:r>
        <w:rPr>
          <w:rFonts w:ascii="Times New Roman" w:eastAsia="仿宋_GB2312" w:hAnsi="Times New Roman"/>
          <w:sz w:val="32"/>
          <w:szCs w:val="32"/>
        </w:rPr>
        <w:t>水路和铁路衔接的综合货运枢纽</w:t>
      </w:r>
      <w:r>
        <w:rPr>
          <w:rFonts w:ascii="Times New Roman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支线铁路、铁路专用线接入港区，引导铁路接入码头后方堆场；能够实现铁路货运、船期、港口装卸作业的精准对接，开展铁路、水路</w:t>
      </w:r>
      <w:r>
        <w:rPr>
          <w:rFonts w:ascii="Times New Roman" w:eastAsia="仿宋_GB2312" w:hAnsi="Times New Roman"/>
          <w:sz w:val="32"/>
          <w:szCs w:val="32"/>
        </w:rPr>
        <w:lastRenderedPageBreak/>
        <w:t>全程运输服务。</w:t>
      </w:r>
    </w:p>
    <w:p w14:paraId="61A61EF7" w14:textId="77777777" w:rsidR="002F4365" w:rsidRDefault="002F4365" w:rsidP="002F4365">
      <w:pPr>
        <w:overflowPunct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——</w:t>
      </w:r>
      <w:r>
        <w:rPr>
          <w:rFonts w:ascii="Times New Roman" w:eastAsia="仿宋_GB2312" w:hAnsi="Times New Roman"/>
          <w:sz w:val="32"/>
          <w:szCs w:val="32"/>
        </w:rPr>
        <w:t>铁路和公路衔接的综合货运枢纽：项目红线范围内有（含边界贴临）铁路货运场站或满足整列作业要求的铁路专用线；与高等级公路或城市快速路、主干道直接连通；能够实现公路班车、铁路货运的精准对接，开展铁路、公路全程运输服务。</w:t>
      </w:r>
    </w:p>
    <w:p w14:paraId="3CFED148" w14:textId="77777777" w:rsidR="002F4365" w:rsidRDefault="002F4365" w:rsidP="002F4365">
      <w:pPr>
        <w:overflowPunct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——</w:t>
      </w:r>
      <w:r>
        <w:rPr>
          <w:rFonts w:ascii="Times New Roman" w:eastAsia="仿宋_GB2312" w:hAnsi="Times New Roman"/>
          <w:sz w:val="32"/>
          <w:szCs w:val="32"/>
        </w:rPr>
        <w:t>航空和铁路衔接的综合货运枢纽：通过轨道交通接入机场；能够实现高铁货运、航班、机场装卸作业的精准对接，开展航空、铁路全程运输服务。</w:t>
      </w:r>
    </w:p>
    <w:p w14:paraId="16AF920C" w14:textId="77777777" w:rsidR="002F4365" w:rsidRDefault="002F4365" w:rsidP="002F4365">
      <w:pPr>
        <w:overflowPunct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——</w:t>
      </w:r>
      <w:r>
        <w:rPr>
          <w:rFonts w:ascii="Times New Roman" w:eastAsia="仿宋_GB2312" w:hAnsi="Times New Roman"/>
          <w:sz w:val="32"/>
          <w:szCs w:val="32"/>
        </w:rPr>
        <w:t>航空和公路衔接的综合货运枢纽：与机场货运区距离应不超过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公里，机场空侧、陆</w:t>
      </w:r>
      <w:proofErr w:type="gramStart"/>
      <w:r>
        <w:rPr>
          <w:rFonts w:ascii="Times New Roman" w:eastAsia="仿宋_GB2312" w:hAnsi="Times New Roman"/>
          <w:sz w:val="32"/>
          <w:szCs w:val="32"/>
        </w:rPr>
        <w:t>侧之间</w:t>
      </w:r>
      <w:proofErr w:type="gramEnd"/>
      <w:r>
        <w:rPr>
          <w:rFonts w:ascii="Times New Roman" w:eastAsia="仿宋_GB2312" w:hAnsi="Times New Roman"/>
          <w:sz w:val="32"/>
          <w:szCs w:val="32"/>
        </w:rPr>
        <w:t>通过专用通道实现便捷衔接；能够实现卡车航班、航班、机场装卸作业的精准对接，开展航空、公路全程运输服务。</w:t>
      </w:r>
    </w:p>
    <w:p w14:paraId="6882967F" w14:textId="77777777" w:rsidR="002F4365" w:rsidRDefault="002F4365" w:rsidP="002F4365">
      <w:pPr>
        <w:overflowPunct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（三）集疏运体系建设方面。</w:t>
      </w:r>
      <w:r>
        <w:rPr>
          <w:rFonts w:ascii="Times New Roman" w:eastAsia="仿宋_GB2312" w:hAnsi="Times New Roman"/>
          <w:sz w:val="32"/>
          <w:szCs w:val="32"/>
        </w:rPr>
        <w:t>围绕铁路、水路、航空等货运基础设施进场站、进港口码头、进园区，延伸拓展既有线路，实施专用线路新建或改扩建工程等，提升不同运输方式衔接的紧密程度。集疏运铁路应有</w:t>
      </w:r>
      <w:proofErr w:type="gramStart"/>
      <w:r>
        <w:rPr>
          <w:rFonts w:ascii="Times New Roman" w:eastAsia="仿宋_GB2312" w:hAnsi="Times New Roman"/>
          <w:sz w:val="32"/>
          <w:szCs w:val="32"/>
        </w:rPr>
        <w:t>效</w:t>
      </w:r>
      <w:proofErr w:type="gramEnd"/>
      <w:r>
        <w:rPr>
          <w:rFonts w:ascii="Times New Roman" w:eastAsia="仿宋_GB2312" w:hAnsi="Times New Roman"/>
          <w:sz w:val="32"/>
          <w:szCs w:val="32"/>
        </w:rPr>
        <w:t>连通港区、大型物流园区集装箱作业区；连通的沿海港区年货物吞吐能力应不低于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万吨、内河港区应不低于</w:t>
      </w:r>
      <w:r>
        <w:rPr>
          <w:rFonts w:ascii="Times New Roman" w:eastAsia="仿宋_GB2312" w:hAnsi="Times New Roman"/>
          <w:sz w:val="32"/>
          <w:szCs w:val="32"/>
        </w:rPr>
        <w:t>500</w:t>
      </w:r>
      <w:r>
        <w:rPr>
          <w:rFonts w:ascii="Times New Roman" w:eastAsia="仿宋_GB2312" w:hAnsi="Times New Roman"/>
          <w:sz w:val="32"/>
          <w:szCs w:val="32"/>
        </w:rPr>
        <w:t>万吨、综合货运枢纽应不低于</w:t>
      </w:r>
      <w:r>
        <w:rPr>
          <w:rFonts w:ascii="Times New Roman" w:eastAsia="仿宋_GB2312" w:hAnsi="Times New Roman"/>
          <w:sz w:val="32"/>
          <w:szCs w:val="32"/>
        </w:rPr>
        <w:t>150</w:t>
      </w:r>
      <w:r>
        <w:rPr>
          <w:rFonts w:ascii="Times New Roman" w:eastAsia="仿宋_GB2312" w:hAnsi="Times New Roman"/>
          <w:sz w:val="32"/>
          <w:szCs w:val="32"/>
        </w:rPr>
        <w:t>万吨。对于铁路、机场、港口等节点，应配有能级匹配的公路。</w:t>
      </w:r>
    </w:p>
    <w:p w14:paraId="74D4728E" w14:textId="77777777" w:rsidR="002F4365" w:rsidRDefault="002F4365" w:rsidP="002F4365">
      <w:pPr>
        <w:overflowPunct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（四）设备更新升级方面。</w:t>
      </w:r>
      <w:r>
        <w:rPr>
          <w:rFonts w:ascii="Times New Roman" w:eastAsia="仿宋_GB2312" w:hAnsi="Times New Roman"/>
          <w:sz w:val="32"/>
          <w:szCs w:val="32"/>
        </w:rPr>
        <w:t>围绕货运装备标准化、智能化、绿色化发展，推广应用专业化多式联运设备和</w:t>
      </w:r>
      <w:proofErr w:type="gramStart"/>
      <w:r>
        <w:rPr>
          <w:rFonts w:ascii="Times New Roman" w:eastAsia="仿宋_GB2312" w:hAnsi="Times New Roman"/>
          <w:sz w:val="32"/>
          <w:szCs w:val="32"/>
        </w:rPr>
        <w:t>跨方式</w:t>
      </w:r>
      <w:proofErr w:type="gramEnd"/>
      <w:r>
        <w:rPr>
          <w:rFonts w:ascii="Times New Roman" w:eastAsia="仿宋_GB2312" w:hAnsi="Times New Roman"/>
          <w:sz w:val="32"/>
          <w:szCs w:val="32"/>
        </w:rPr>
        <w:t>快</w:t>
      </w:r>
      <w:r>
        <w:rPr>
          <w:rFonts w:ascii="Times New Roman" w:eastAsia="仿宋_GB2312" w:hAnsi="Times New Roman"/>
          <w:sz w:val="32"/>
          <w:szCs w:val="32"/>
        </w:rPr>
        <w:lastRenderedPageBreak/>
        <w:t>速换装转运的装卸、分拣设施及标准化载运单元，鼓励配备符合低碳目标的作业设施、新能源货车和全货运机型等。</w:t>
      </w:r>
    </w:p>
    <w:p w14:paraId="153BAB6C" w14:textId="77777777" w:rsidR="002F4365" w:rsidRDefault="002F4365" w:rsidP="002F4365">
      <w:pPr>
        <w:overflowPunct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——</w:t>
      </w:r>
      <w:r>
        <w:rPr>
          <w:rFonts w:ascii="Times New Roman" w:eastAsia="仿宋_GB2312" w:hAnsi="Times New Roman"/>
          <w:sz w:val="32"/>
          <w:szCs w:val="32"/>
        </w:rPr>
        <w:t>智能化设备：包括智能立体仓储、边缘计算终端设备、机器视觉系统等，推进采集数字化、传输网络化、作业智能化；</w:t>
      </w:r>
    </w:p>
    <w:p w14:paraId="2D2C0F33" w14:textId="77777777" w:rsidR="002F4365" w:rsidRDefault="002F4365" w:rsidP="002F4365">
      <w:pPr>
        <w:overflowPunct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——</w:t>
      </w:r>
      <w:r>
        <w:rPr>
          <w:rFonts w:ascii="Times New Roman" w:eastAsia="仿宋_GB2312" w:hAnsi="Times New Roman"/>
          <w:sz w:val="32"/>
          <w:szCs w:val="32"/>
        </w:rPr>
        <w:t>绿色化设备：包括新能源装卸设备、光伏发电设备、充（换）电设备、氢气</w:t>
      </w:r>
      <w:proofErr w:type="gramStart"/>
      <w:r>
        <w:rPr>
          <w:rFonts w:ascii="Times New Roman" w:eastAsia="仿宋_GB2312" w:hAnsi="Times New Roman"/>
          <w:sz w:val="32"/>
          <w:szCs w:val="32"/>
        </w:rPr>
        <w:t>制储加</w:t>
      </w:r>
      <w:proofErr w:type="gramEnd"/>
      <w:r>
        <w:rPr>
          <w:rFonts w:ascii="Times New Roman" w:eastAsia="仿宋_GB2312" w:hAnsi="Times New Roman"/>
          <w:sz w:val="32"/>
          <w:szCs w:val="32"/>
        </w:rPr>
        <w:t>设备等，推进节能降碳，提高新能源应用比例；</w:t>
      </w:r>
    </w:p>
    <w:p w14:paraId="0E4FDD84" w14:textId="77777777" w:rsidR="002F4365" w:rsidRDefault="002F4365" w:rsidP="002F4365">
      <w:pPr>
        <w:overflowPunct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——</w:t>
      </w:r>
      <w:r>
        <w:rPr>
          <w:rFonts w:ascii="Times New Roman" w:eastAsia="仿宋_GB2312" w:hAnsi="Times New Roman"/>
          <w:sz w:val="32"/>
          <w:szCs w:val="32"/>
        </w:rPr>
        <w:t>多式联运换装设备：包括桥（门）式起重机、正面吊、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跨运车</w:t>
      </w:r>
      <w:proofErr w:type="gramEnd"/>
      <w:r>
        <w:rPr>
          <w:rFonts w:ascii="Times New Roman" w:eastAsia="仿宋_GB2312" w:hAnsi="Times New Roman"/>
          <w:sz w:val="32"/>
          <w:szCs w:val="32"/>
        </w:rPr>
        <w:t>等，促进多式联运高效换装，提高装备标准化比例。</w:t>
      </w:r>
    </w:p>
    <w:p w14:paraId="28F1B718" w14:textId="77777777" w:rsidR="002F4365" w:rsidRDefault="002F4365" w:rsidP="002F4365">
      <w:pPr>
        <w:overflowPunct w:val="0"/>
        <w:spacing w:line="580" w:lineRule="exact"/>
        <w:ind w:firstLineChars="200" w:firstLine="640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二、规则标准及服务软联通</w:t>
      </w:r>
    </w:p>
    <w:p w14:paraId="5C09D8A7" w14:textId="77777777" w:rsidR="002F4365" w:rsidRDefault="002F4365" w:rsidP="002F4365">
      <w:pPr>
        <w:overflowPunct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（一）信息化建设方面。</w:t>
      </w:r>
      <w:r>
        <w:rPr>
          <w:rFonts w:ascii="Times New Roman" w:eastAsia="仿宋_GB2312" w:hAnsi="Times New Roman"/>
          <w:sz w:val="32"/>
          <w:szCs w:val="32"/>
        </w:rPr>
        <w:t>城市（群）应利用信息平台实现多种运输方式信息互联共享，推动铁路运单、订舱托运单、场站收据、海运提单、邮政快递运单等实现单证信息交叉验证与互认，实现多式联运信息全程跟踪和</w:t>
      </w:r>
      <w:proofErr w:type="gramStart"/>
      <w:r>
        <w:rPr>
          <w:rFonts w:ascii="Times New Roman" w:eastAsia="仿宋_GB2312" w:hAnsi="Times New Roman"/>
          <w:sz w:val="32"/>
          <w:szCs w:val="32"/>
        </w:rPr>
        <w:t>可</w:t>
      </w:r>
      <w:proofErr w:type="gramEnd"/>
      <w:r>
        <w:rPr>
          <w:rFonts w:ascii="Times New Roman" w:eastAsia="仿宋_GB2312" w:hAnsi="Times New Roman"/>
          <w:sz w:val="32"/>
          <w:szCs w:val="32"/>
        </w:rPr>
        <w:t>追溯，加强信息平台与综合货运枢纽的线上线下协同，促进保单等金融服务产品与联运单全程化匹配。提供公共物流信息服务；能够实现多式联运信息互联互通，推进</w:t>
      </w:r>
      <w:r>
        <w:rPr>
          <w:rFonts w:ascii="Times New Roman" w:eastAsia="仿宋_GB2312" w:hAnsi="Times New Roman"/>
          <w:sz w:val="32"/>
          <w:szCs w:val="32"/>
        </w:rPr>
        <w:t xml:space="preserve"> “</w:t>
      </w:r>
      <w:r>
        <w:rPr>
          <w:rFonts w:ascii="Times New Roman" w:eastAsia="仿宋_GB2312" w:hAnsi="Times New Roman"/>
          <w:sz w:val="32"/>
          <w:szCs w:val="32"/>
        </w:rPr>
        <w:t>一单制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发展，或实现与综合货运枢纽线上线下融合；信息系统安全保护等级不低于三级。</w:t>
      </w:r>
    </w:p>
    <w:p w14:paraId="00C95CB5" w14:textId="77777777" w:rsidR="002F4365" w:rsidRDefault="002F4365" w:rsidP="002F4365">
      <w:pPr>
        <w:overflowPunct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（二）规则标准方面。</w:t>
      </w:r>
      <w:r>
        <w:rPr>
          <w:rFonts w:ascii="Times New Roman" w:eastAsia="仿宋_GB2312" w:hAnsi="Times New Roman"/>
          <w:sz w:val="32"/>
          <w:szCs w:val="32"/>
        </w:rPr>
        <w:t>城市（群）应利用信息平台实现多种运输方式信息互联共享，支持企业联盟化、品牌化运作，</w:t>
      </w:r>
      <w:r>
        <w:rPr>
          <w:rFonts w:ascii="Times New Roman" w:eastAsia="仿宋_GB2312" w:hAnsi="Times New Roman"/>
          <w:sz w:val="32"/>
          <w:szCs w:val="32"/>
        </w:rPr>
        <w:lastRenderedPageBreak/>
        <w:t>推广使用国家标准和行业标准，细化形成地方标准和团体标准。综合货运枢纽项目建设、标准运载单元、多式联运服务、安全管理、信息交换互认共享等规则标准完善、统一。</w:t>
      </w:r>
    </w:p>
    <w:p w14:paraId="47F63DA8" w14:textId="77777777" w:rsidR="002F4365" w:rsidRDefault="002F4365" w:rsidP="002F4365">
      <w:pPr>
        <w:overflowPunct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（三）服务产品方面。</w:t>
      </w:r>
      <w:r>
        <w:rPr>
          <w:rFonts w:ascii="Times New Roman" w:eastAsia="仿宋_GB2312" w:hAnsi="Times New Roman"/>
          <w:sz w:val="32"/>
          <w:szCs w:val="32"/>
        </w:rPr>
        <w:t>综合货运枢纽内应强化铁路专用线等设施衔接，发展货物</w:t>
      </w:r>
      <w:proofErr w:type="gramStart"/>
      <w:r>
        <w:rPr>
          <w:rFonts w:ascii="Times New Roman" w:eastAsia="仿宋_GB2312" w:hAnsi="Times New Roman"/>
          <w:sz w:val="32"/>
          <w:szCs w:val="32"/>
        </w:rPr>
        <w:t>跨方式</w:t>
      </w:r>
      <w:proofErr w:type="gramEnd"/>
      <w:r>
        <w:rPr>
          <w:rFonts w:ascii="Times New Roman" w:eastAsia="仿宋_GB2312" w:hAnsi="Times New Roman"/>
          <w:sz w:val="32"/>
          <w:szCs w:val="32"/>
        </w:rPr>
        <w:t>直取换装、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越库作业</w:t>
      </w:r>
      <w:proofErr w:type="gramEnd"/>
      <w:r>
        <w:rPr>
          <w:rFonts w:ascii="Times New Roman" w:eastAsia="仿宋_GB2312" w:hAnsi="Times New Roman"/>
          <w:sz w:val="32"/>
          <w:szCs w:val="32"/>
        </w:rPr>
        <w:t>。依托综合货运枢纽丰富联运服务产品，因地制宜发展铁路大宗货物直达班列、五定班列、公路甩挂运输、卡车航班、全货机运输、高铁货运等服务模式，丰富运输服务线路和产品，提升多式联运、应急物流、冷链物流、国际供应链等专业服务品质。</w:t>
      </w:r>
    </w:p>
    <w:p w14:paraId="4CA82ED2" w14:textId="77777777" w:rsidR="002F4365" w:rsidRDefault="002F4365" w:rsidP="002F4365">
      <w:pPr>
        <w:overflowPunct w:val="0"/>
        <w:spacing w:line="580" w:lineRule="exact"/>
        <w:ind w:firstLineChars="200" w:firstLine="640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三、一体化运营机制建设</w:t>
      </w:r>
    </w:p>
    <w:p w14:paraId="6B191CF5" w14:textId="77777777" w:rsidR="002F4365" w:rsidRDefault="002F4365" w:rsidP="002F4365">
      <w:pPr>
        <w:overflowPunct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（一）强化企业合作。</w:t>
      </w:r>
      <w:r>
        <w:rPr>
          <w:rFonts w:ascii="Times New Roman" w:eastAsia="仿宋_GB2312" w:hAnsi="Times New Roman"/>
          <w:sz w:val="32"/>
          <w:szCs w:val="32"/>
        </w:rPr>
        <w:t>相关市场主体应通过股权合作、战略协议、连锁复制等方式，加快网络化布局和协同化运营。枢纽企业应强化产业链上下游合作，与生产、商贸、金融等上下游企业建立供应</w:t>
      </w:r>
      <w:proofErr w:type="gramStart"/>
      <w:r>
        <w:rPr>
          <w:rFonts w:ascii="Times New Roman" w:eastAsia="仿宋_GB2312" w:hAnsi="Times New Roman"/>
          <w:sz w:val="32"/>
          <w:szCs w:val="32"/>
        </w:rPr>
        <w:t>链战略</w:t>
      </w:r>
      <w:proofErr w:type="gramEnd"/>
      <w:r>
        <w:rPr>
          <w:rFonts w:ascii="Times New Roman" w:eastAsia="仿宋_GB2312" w:hAnsi="Times New Roman"/>
          <w:sz w:val="32"/>
          <w:szCs w:val="32"/>
        </w:rPr>
        <w:t>合作关系，与境外枢纽港站、海外</w:t>
      </w:r>
      <w:proofErr w:type="gramStart"/>
      <w:r>
        <w:rPr>
          <w:rFonts w:ascii="Times New Roman" w:eastAsia="仿宋_GB2312" w:hAnsi="Times New Roman"/>
          <w:sz w:val="32"/>
          <w:szCs w:val="32"/>
        </w:rPr>
        <w:t>仓以及</w:t>
      </w:r>
      <w:proofErr w:type="gramEnd"/>
      <w:r>
        <w:rPr>
          <w:rFonts w:ascii="Times New Roman" w:eastAsia="仿宋_GB2312" w:hAnsi="Times New Roman"/>
          <w:sz w:val="32"/>
          <w:szCs w:val="32"/>
        </w:rPr>
        <w:t>国际物流企业深化合作，畅通国际物流服务链条。</w:t>
      </w:r>
    </w:p>
    <w:p w14:paraId="3D78C7B5" w14:textId="77777777" w:rsidR="002F4365" w:rsidRDefault="002F4365" w:rsidP="002F4365">
      <w:pPr>
        <w:overflowPunct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（二）拓展资金来源。</w:t>
      </w:r>
      <w:r>
        <w:rPr>
          <w:rFonts w:ascii="Times New Roman" w:eastAsia="仿宋_GB2312" w:hAnsi="Times New Roman"/>
          <w:sz w:val="32"/>
          <w:szCs w:val="32"/>
        </w:rPr>
        <w:t>鼓励各方在合作过程中创新投融资等模式，以项目合资、股权投资基金、政府和社会资本合作（</w:t>
      </w:r>
      <w:r>
        <w:rPr>
          <w:rFonts w:ascii="Times New Roman" w:eastAsia="仿宋_GB2312" w:hAnsi="Times New Roman"/>
          <w:sz w:val="32"/>
          <w:szCs w:val="32"/>
        </w:rPr>
        <w:t>PPP</w:t>
      </w:r>
      <w:r>
        <w:rPr>
          <w:rFonts w:ascii="Times New Roman" w:eastAsia="仿宋_GB2312" w:hAnsi="Times New Roman"/>
          <w:sz w:val="32"/>
          <w:szCs w:val="32"/>
        </w:rPr>
        <w:t>）、基础设施不动产投资信托基金（</w:t>
      </w:r>
      <w:r>
        <w:rPr>
          <w:rFonts w:ascii="Times New Roman" w:eastAsia="仿宋_GB2312" w:hAnsi="Times New Roman"/>
          <w:sz w:val="32"/>
          <w:szCs w:val="32"/>
        </w:rPr>
        <w:t>REITs</w:t>
      </w:r>
      <w:r>
        <w:rPr>
          <w:rFonts w:ascii="Times New Roman" w:eastAsia="仿宋_GB2312" w:hAnsi="Times New Roman"/>
          <w:sz w:val="32"/>
          <w:szCs w:val="32"/>
        </w:rPr>
        <w:t>）等市场化方式吸引带动民间资本，共同参与综合货运枢纽建设运营，实现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利益共享、风险共担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的一体化运作。</w:t>
      </w:r>
    </w:p>
    <w:p w14:paraId="79539DA1" w14:textId="77777777" w:rsidR="009C0563" w:rsidRPr="002F4365" w:rsidRDefault="00000000"/>
    <w:sectPr w:rsidR="009C0563" w:rsidRPr="002F4365" w:rsidSect="008105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2C13" w14:textId="77777777" w:rsidR="00573355" w:rsidRDefault="00573355" w:rsidP="002F4365">
      <w:r>
        <w:separator/>
      </w:r>
    </w:p>
  </w:endnote>
  <w:endnote w:type="continuationSeparator" w:id="0">
    <w:p w14:paraId="63BE6BD5" w14:textId="77777777" w:rsidR="00573355" w:rsidRDefault="00573355" w:rsidP="002F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9311" w14:textId="77777777" w:rsidR="002F4365" w:rsidRDefault="002F43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157553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5571C975" w14:textId="077C805C" w:rsidR="002F4365" w:rsidRPr="00BE3FA7" w:rsidRDefault="002F4365">
        <w:pPr>
          <w:pStyle w:val="a7"/>
          <w:jc w:val="center"/>
          <w:rPr>
            <w:rFonts w:ascii="宋体" w:hAnsi="宋体"/>
            <w:sz w:val="28"/>
            <w:szCs w:val="28"/>
          </w:rPr>
        </w:pPr>
        <w:r w:rsidRPr="00BE3FA7">
          <w:rPr>
            <w:rFonts w:ascii="宋体" w:hAnsi="宋体"/>
            <w:sz w:val="28"/>
            <w:szCs w:val="28"/>
          </w:rPr>
          <w:fldChar w:fldCharType="begin"/>
        </w:r>
        <w:r w:rsidRPr="00BE3FA7">
          <w:rPr>
            <w:rFonts w:ascii="宋体" w:hAnsi="宋体"/>
            <w:sz w:val="28"/>
            <w:szCs w:val="28"/>
          </w:rPr>
          <w:instrText>PAGE   \* MERGEFORMAT</w:instrText>
        </w:r>
        <w:r w:rsidRPr="00BE3FA7">
          <w:rPr>
            <w:rFonts w:ascii="宋体" w:hAnsi="宋体"/>
            <w:sz w:val="28"/>
            <w:szCs w:val="28"/>
          </w:rPr>
          <w:fldChar w:fldCharType="separate"/>
        </w:r>
        <w:r w:rsidRPr="00BE3FA7">
          <w:rPr>
            <w:rFonts w:ascii="宋体" w:hAnsi="宋体"/>
            <w:sz w:val="28"/>
            <w:szCs w:val="28"/>
            <w:lang w:val="zh-CN"/>
          </w:rPr>
          <w:t>2</w:t>
        </w:r>
        <w:r w:rsidRPr="00BE3FA7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3214B49C" w14:textId="77777777" w:rsidR="002F4365" w:rsidRDefault="002F43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B6A5" w14:textId="77777777" w:rsidR="002F4365" w:rsidRDefault="002F43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FBDF" w14:textId="77777777" w:rsidR="00573355" w:rsidRDefault="00573355" w:rsidP="002F4365">
      <w:r>
        <w:separator/>
      </w:r>
    </w:p>
  </w:footnote>
  <w:footnote w:type="continuationSeparator" w:id="0">
    <w:p w14:paraId="795EFA7B" w14:textId="77777777" w:rsidR="00573355" w:rsidRDefault="00573355" w:rsidP="002F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E930" w14:textId="77777777" w:rsidR="002F4365" w:rsidRDefault="002F43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19B6" w14:textId="77777777" w:rsidR="002F4365" w:rsidRDefault="002F4365" w:rsidP="002F4365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1130" w14:textId="77777777" w:rsidR="002F4365" w:rsidRDefault="002F43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65"/>
    <w:rsid w:val="000C464C"/>
    <w:rsid w:val="002F2E35"/>
    <w:rsid w:val="002F4365"/>
    <w:rsid w:val="00573355"/>
    <w:rsid w:val="008105E7"/>
    <w:rsid w:val="009A10B6"/>
    <w:rsid w:val="00BE3FA7"/>
    <w:rsid w:val="00E1670D"/>
    <w:rsid w:val="00EE4962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E922"/>
  <w15:chartTrackingRefBased/>
  <w15:docId w15:val="{AA6BD344-67DB-4FC4-A195-2D89A4D3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F43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4365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2F4365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2F4365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2F4365"/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F4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F4365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F4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F43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布</dc:creator>
  <cp:keywords/>
  <dc:description/>
  <cp:lastModifiedBy>罗 布</cp:lastModifiedBy>
  <cp:revision>4</cp:revision>
  <dcterms:created xsi:type="dcterms:W3CDTF">2022-07-22T01:47:00Z</dcterms:created>
  <dcterms:modified xsi:type="dcterms:W3CDTF">2022-07-22T02:01:00Z</dcterms:modified>
</cp:coreProperties>
</file>