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Times New Roman" w:hAnsi="Times New Roman" w:eastAsia="方正黑体_GBK"/>
          <w:sz w:val="28"/>
          <w:szCs w:val="28"/>
          <w:lang w:val="en-US" w:eastAsia="zh-CN"/>
        </w:rPr>
      </w:pPr>
      <w:r>
        <w:rPr>
          <w:rFonts w:ascii="Times New Roman" w:hAnsi="Times New Roman" w:eastAsia="方正黑体_GBK"/>
          <w:sz w:val="30"/>
          <w:szCs w:val="30"/>
        </w:rPr>
        <w:t>附件</w:t>
      </w:r>
      <w:r>
        <w:rPr>
          <w:rFonts w:hint="eastAsia" w:ascii="Times New Roman" w:hAnsi="Times New Roman" w:eastAsia="方正黑体_GBK"/>
          <w:sz w:val="30"/>
          <w:szCs w:val="30"/>
        </w:rPr>
        <w:t>3</w:t>
      </w:r>
      <w:r>
        <w:rPr>
          <w:rFonts w:hint="eastAsia" w:ascii="Times New Roman" w:hAnsi="Times New Roman" w:eastAsia="方正黑体_GBK"/>
          <w:sz w:val="30"/>
          <w:szCs w:val="30"/>
          <w:lang w:val="en-US" w:eastAsia="zh-CN"/>
        </w:rPr>
        <w:t>:</w:t>
      </w:r>
    </w:p>
    <w:p>
      <w:pPr>
        <w:spacing w:line="360" w:lineRule="auto"/>
        <w:jc w:val="center"/>
        <w:rPr>
          <w:rFonts w:hint="eastAsia" w:ascii="方正小标宋_GBK" w:hAnsi="黑体" w:eastAsia="方正小标宋_GBK"/>
          <w:sz w:val="40"/>
          <w:szCs w:val="40"/>
          <w:lang w:eastAsia="zh-CN"/>
        </w:rPr>
      </w:pPr>
      <w:r>
        <w:rPr>
          <w:rFonts w:hint="eastAsia" w:ascii="方正小标宋_GBK" w:hAnsi="黑体" w:eastAsia="方正小标宋_GBK"/>
          <w:sz w:val="40"/>
          <w:szCs w:val="40"/>
          <w:lang w:eastAsia="zh-CN"/>
        </w:rPr>
        <w:t>中央基建投资</w:t>
      </w:r>
      <w:r>
        <w:rPr>
          <w:rFonts w:hint="eastAsia" w:ascii="方正小标宋_GBK" w:hAnsi="黑体" w:eastAsia="方正小标宋_GBK"/>
          <w:sz w:val="40"/>
          <w:szCs w:val="40"/>
        </w:rPr>
        <w:t>绩效目标</w:t>
      </w:r>
      <w:r>
        <w:rPr>
          <w:rFonts w:hint="eastAsia" w:ascii="方正小标宋_GBK" w:hAnsi="黑体" w:eastAsia="方正小标宋_GBK"/>
          <w:sz w:val="40"/>
          <w:szCs w:val="40"/>
          <w:lang w:eastAsia="zh-CN"/>
        </w:rPr>
        <w:t>汇总表</w:t>
      </w:r>
    </w:p>
    <w:p>
      <w:pPr>
        <w:jc w:val="center"/>
        <w:rPr>
          <w:rFonts w:ascii="方正楷体_GBK" w:hAnsi="黑体" w:eastAsia="方正楷体_GBK"/>
          <w:sz w:val="30"/>
          <w:szCs w:val="30"/>
        </w:rPr>
      </w:pPr>
      <w:r>
        <w:rPr>
          <w:rFonts w:hint="eastAsia" w:ascii="方正楷体_GBK" w:hAnsi="黑体" w:eastAsia="方正楷体_GBK"/>
          <w:sz w:val="30"/>
          <w:szCs w:val="30"/>
        </w:rPr>
        <w:t>（2019年度）</w:t>
      </w:r>
      <w:bookmarkStart w:id="0" w:name="_GoBack"/>
      <w:bookmarkEnd w:id="0"/>
    </w:p>
    <w:p>
      <w:pPr>
        <w:jc w:val="center"/>
        <w:rPr>
          <w:rFonts w:ascii="黑体" w:hAnsi="黑体" w:eastAsia="黑体"/>
          <w:sz w:val="24"/>
          <w:szCs w:val="24"/>
        </w:rPr>
      </w:pPr>
    </w:p>
    <w:tbl>
      <w:tblPr>
        <w:tblStyle w:val="8"/>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617"/>
        <w:gridCol w:w="1575"/>
        <w:gridCol w:w="1059"/>
        <w:gridCol w:w="2694"/>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84" w:type="dxa"/>
            <w:gridSpan w:val="4"/>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专项名称</w:t>
            </w:r>
          </w:p>
        </w:tc>
        <w:tc>
          <w:tcPr>
            <w:tcW w:w="4106" w:type="dxa"/>
            <w:gridSpan w:val="2"/>
            <w:vAlign w:val="center"/>
          </w:tcPr>
          <w:p>
            <w:pPr>
              <w:jc w:val="center"/>
              <w:rPr>
                <w:rFonts w:hint="eastAsia" w:ascii="Times New Roman" w:hAnsi="Times New Roman" w:eastAsia="方正仿宋_GBK" w:cs="Times New Roman"/>
                <w:szCs w:val="21"/>
                <w:lang w:eastAsia="zh-CN"/>
              </w:rPr>
            </w:pPr>
            <w:r>
              <w:rPr>
                <w:rFonts w:hint="default" w:ascii="Times New Roman" w:hAnsi="Times New Roman" w:eastAsia="方正仿宋_GBK" w:cs="Times New Roman"/>
                <w:szCs w:val="21"/>
              </w:rPr>
              <w:t>电子政务专项</w:t>
            </w:r>
            <w:r>
              <w:rPr>
                <w:rFonts w:hint="eastAsia" w:ascii="Times New Roman" w:hAnsi="Times New Roman" w:eastAsia="方正仿宋_GBK" w:cs="Times New Roman"/>
                <w:szCs w:val="21"/>
                <w:lang w:eastAsia="zh-CN"/>
              </w:rPr>
              <w:t>（第十批）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84" w:type="dxa"/>
            <w:gridSpan w:val="4"/>
            <w:vAlign w:val="center"/>
          </w:tcPr>
          <w:p>
            <w:pPr>
              <w:jc w:val="center"/>
              <w:rPr>
                <w:rFonts w:hint="default" w:ascii="Times New Roman" w:hAnsi="Times New Roman" w:eastAsia="方正仿宋_GBK" w:cs="Times New Roman"/>
                <w:szCs w:val="21"/>
              </w:rPr>
            </w:pPr>
            <w:r>
              <w:rPr>
                <w:rFonts w:hint="eastAsia" w:ascii="Times New Roman" w:hAnsi="Times New Roman" w:eastAsia="方正仿宋_GBK" w:cs="Times New Roman"/>
                <w:szCs w:val="21"/>
                <w:lang w:eastAsia="zh-CN"/>
              </w:rPr>
              <w:t>中央基建</w:t>
            </w:r>
            <w:r>
              <w:rPr>
                <w:rFonts w:hint="default" w:ascii="Times New Roman" w:hAnsi="Times New Roman" w:eastAsia="方正仿宋_GBK" w:cs="Times New Roman"/>
                <w:szCs w:val="21"/>
              </w:rPr>
              <w:t>投资（万元）</w:t>
            </w:r>
          </w:p>
        </w:tc>
        <w:tc>
          <w:tcPr>
            <w:tcW w:w="4106" w:type="dxa"/>
            <w:gridSpan w:val="2"/>
            <w:vAlign w:val="center"/>
          </w:tcPr>
          <w:p>
            <w:pPr>
              <w:jc w:val="center"/>
              <w:rPr>
                <w:rFonts w:hint="default" w:ascii="Times New Roman" w:hAnsi="Times New Roman" w:eastAsia="方正仿宋_GBK" w:cs="Times New Roman"/>
                <w:color w:val="auto"/>
                <w:szCs w:val="21"/>
                <w:lang w:val="en-US" w:eastAsia="zh-CN"/>
              </w:rPr>
            </w:pPr>
            <w:r>
              <w:rPr>
                <w:rFonts w:hint="eastAsia" w:ascii="Times New Roman" w:hAnsi="Times New Roman" w:eastAsia="方正仿宋_GBK" w:cs="Times New Roman"/>
                <w:color w:val="auto"/>
                <w:szCs w:val="21"/>
                <w:lang w:val="en-US" w:eastAsia="zh-CN"/>
              </w:rPr>
              <w:t>22196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3" w:type="dxa"/>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总</w:t>
            </w:r>
          </w:p>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体</w:t>
            </w:r>
          </w:p>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目</w:t>
            </w:r>
          </w:p>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标</w:t>
            </w:r>
          </w:p>
        </w:tc>
        <w:tc>
          <w:tcPr>
            <w:tcW w:w="8357" w:type="dxa"/>
            <w:gridSpan w:val="5"/>
            <w:vAlign w:val="center"/>
          </w:tcPr>
          <w:p>
            <w:pPr>
              <w:jc w:val="left"/>
              <w:rPr>
                <w:rFonts w:hint="default" w:ascii="Times New Roman" w:hAnsi="Times New Roman" w:eastAsia="方正仿宋_GBK" w:cs="Times New Roman"/>
                <w:b/>
                <w:szCs w:val="21"/>
              </w:rPr>
            </w:pPr>
          </w:p>
          <w:p>
            <w:pPr>
              <w:jc w:val="left"/>
              <w:rPr>
                <w:rFonts w:hint="default" w:ascii="Times New Roman" w:hAnsi="Times New Roman" w:eastAsia="方正仿宋_GBK" w:cs="Times New Roman"/>
                <w:b/>
                <w:szCs w:val="21"/>
              </w:rPr>
            </w:pPr>
          </w:p>
          <w:p>
            <w:pPr>
              <w:jc w:val="left"/>
              <w:rPr>
                <w:rFonts w:hint="default" w:ascii="Times New Roman" w:hAnsi="Times New Roman" w:eastAsia="方正仿宋_GBK" w:cs="Times New Roman"/>
                <w:b w:val="0"/>
                <w:bCs/>
                <w:szCs w:val="21"/>
              </w:rPr>
            </w:pPr>
            <w:r>
              <w:rPr>
                <w:rFonts w:hint="default" w:ascii="Times New Roman" w:hAnsi="Times New Roman" w:eastAsia="方正仿宋_GBK" w:cs="Times New Roman"/>
                <w:b/>
                <w:szCs w:val="21"/>
              </w:rPr>
              <w:t>目标</w:t>
            </w:r>
            <w:r>
              <w:rPr>
                <w:rFonts w:hint="eastAsia" w:ascii="Times New Roman" w:hAnsi="Times New Roman" w:eastAsia="方正仿宋_GBK" w:cs="Times New Roman"/>
                <w:b/>
                <w:szCs w:val="21"/>
                <w:lang w:val="en-US" w:eastAsia="zh-CN"/>
              </w:rPr>
              <w:t>1</w:t>
            </w:r>
            <w:r>
              <w:rPr>
                <w:rFonts w:hint="default" w:ascii="Times New Roman" w:hAnsi="Times New Roman" w:eastAsia="方正仿宋_GBK" w:cs="Times New Roman"/>
                <w:b/>
                <w:szCs w:val="21"/>
              </w:rPr>
              <w:t>：</w:t>
            </w:r>
            <w:r>
              <w:rPr>
                <w:rFonts w:hint="default" w:ascii="Times New Roman" w:hAnsi="Times New Roman" w:eastAsia="方正仿宋_GBK" w:cs="Times New Roman"/>
                <w:b w:val="0"/>
                <w:bCs/>
                <w:szCs w:val="21"/>
                <w:lang w:eastAsia="zh-CN"/>
              </w:rPr>
              <w:t>北京市</w:t>
            </w:r>
            <w:r>
              <w:rPr>
                <w:rFonts w:hint="default" w:ascii="Times New Roman" w:hAnsi="Times New Roman" w:eastAsia="方正仿宋_GBK" w:cs="Times New Roman"/>
                <w:b w:val="0"/>
                <w:bCs/>
                <w:szCs w:val="21"/>
              </w:rPr>
              <w:t>打造市级政府网站集约化平台，实现全市各部门网站的迁移整合</w:t>
            </w:r>
            <w:r>
              <w:rPr>
                <w:rFonts w:hint="default" w:ascii="Times New Roman" w:hAnsi="Times New Roman" w:eastAsia="方正仿宋_GBK" w:cs="Times New Roman"/>
                <w:b w:val="0"/>
                <w:bCs/>
                <w:szCs w:val="21"/>
                <w:lang w:eastAsia="zh-CN"/>
              </w:rPr>
              <w:t>，</w:t>
            </w:r>
            <w:r>
              <w:rPr>
                <w:rFonts w:hint="default" w:ascii="Times New Roman" w:hAnsi="Times New Roman" w:eastAsia="方正仿宋_GBK" w:cs="Times New Roman"/>
                <w:b w:val="0"/>
                <w:bCs/>
                <w:szCs w:val="21"/>
              </w:rPr>
              <w:t>采用市区两级集约化建设模式，市级层面建设服务全部市级部门的政府网站集约化平台，各区各自建设本区政府门户网站和集约化平台，市区两级统一标准规范，实现互联融通。形成北京市政府网站集约化技术标准和数据规范。构建全市政府网站统一信息资源库。统一运维监管、统一安全防护</w:t>
            </w:r>
            <w:r>
              <w:rPr>
                <w:rFonts w:hint="default" w:ascii="Times New Roman" w:hAnsi="Times New Roman" w:eastAsia="方正仿宋_GBK" w:cs="Times New Roman"/>
                <w:b w:val="0"/>
                <w:bCs/>
                <w:szCs w:val="21"/>
                <w:lang w:eastAsia="zh-CN"/>
              </w:rPr>
              <w:t>，</w:t>
            </w:r>
            <w:r>
              <w:rPr>
                <w:rFonts w:hint="default" w:ascii="Times New Roman" w:hAnsi="Times New Roman" w:eastAsia="方正仿宋_GBK" w:cs="Times New Roman"/>
                <w:b w:val="0"/>
                <w:bCs/>
                <w:szCs w:val="21"/>
              </w:rPr>
              <w:t>提供一体化服务。打造政府网站的三个“一网通”：一是以“一网通查、精准获取”为目标</w:t>
            </w:r>
            <w:r>
              <w:rPr>
                <w:rFonts w:hint="default" w:ascii="Times New Roman" w:hAnsi="Times New Roman" w:eastAsia="方正仿宋_GBK" w:cs="Times New Roman"/>
                <w:b w:val="0"/>
                <w:bCs/>
                <w:szCs w:val="21"/>
                <w:lang w:eastAsia="zh-CN"/>
              </w:rPr>
              <w:t>的</w:t>
            </w:r>
            <w:r>
              <w:rPr>
                <w:rFonts w:hint="default" w:ascii="Times New Roman" w:hAnsi="Times New Roman" w:eastAsia="方正仿宋_GBK" w:cs="Times New Roman"/>
                <w:b w:val="0"/>
                <w:bCs/>
                <w:szCs w:val="21"/>
              </w:rPr>
              <w:t>一体化政府信息发布平台。二是以“一网通办、智能便利”为目标</w:t>
            </w:r>
            <w:r>
              <w:rPr>
                <w:rFonts w:hint="default" w:ascii="Times New Roman" w:hAnsi="Times New Roman" w:eastAsia="方正仿宋_GBK" w:cs="Times New Roman"/>
                <w:b w:val="0"/>
                <w:bCs/>
                <w:szCs w:val="21"/>
                <w:lang w:eastAsia="zh-CN"/>
              </w:rPr>
              <w:t>的</w:t>
            </w:r>
            <w:r>
              <w:rPr>
                <w:rFonts w:hint="default" w:ascii="Times New Roman" w:hAnsi="Times New Roman" w:eastAsia="方正仿宋_GBK" w:cs="Times New Roman"/>
                <w:b w:val="0"/>
                <w:bCs/>
                <w:szCs w:val="21"/>
              </w:rPr>
              <w:t>一体化在线政务服务平台。三是以“一网通答、高效响应”为目标</w:t>
            </w:r>
            <w:r>
              <w:rPr>
                <w:rFonts w:hint="default" w:ascii="Times New Roman" w:hAnsi="Times New Roman" w:eastAsia="方正仿宋_GBK" w:cs="Times New Roman"/>
                <w:b w:val="0"/>
                <w:bCs/>
                <w:szCs w:val="21"/>
                <w:lang w:eastAsia="zh-CN"/>
              </w:rPr>
              <w:t>的</w:t>
            </w:r>
            <w:r>
              <w:rPr>
                <w:rFonts w:hint="default" w:ascii="Times New Roman" w:hAnsi="Times New Roman" w:eastAsia="方正仿宋_GBK" w:cs="Times New Roman"/>
                <w:b w:val="0"/>
                <w:bCs/>
                <w:szCs w:val="21"/>
              </w:rPr>
              <w:t>一体化互动交流平台。</w:t>
            </w:r>
          </w:p>
          <w:p>
            <w:pPr>
              <w:jc w:val="left"/>
              <w:rPr>
                <w:rFonts w:hint="default" w:ascii="Times New Roman" w:hAnsi="Times New Roman" w:eastAsia="方正仿宋_GBK" w:cs="Times New Roman"/>
                <w:color w:val="FF0000"/>
                <w:szCs w:val="21"/>
              </w:rPr>
            </w:pPr>
          </w:p>
          <w:p>
            <w:pPr>
              <w:jc w:val="left"/>
              <w:rPr>
                <w:rFonts w:hint="default" w:ascii="Times New Roman" w:hAnsi="Times New Roman" w:eastAsia="方正仿宋_GBK" w:cs="Times New Roman"/>
                <w:b w:val="0"/>
                <w:bCs/>
                <w:color w:val="auto"/>
                <w:szCs w:val="21"/>
                <w:lang w:val="en-US" w:eastAsia="zh-CN"/>
              </w:rPr>
            </w:pPr>
            <w:r>
              <w:rPr>
                <w:rFonts w:hint="default" w:ascii="Times New Roman" w:hAnsi="Times New Roman" w:eastAsia="方正仿宋_GBK" w:cs="Times New Roman"/>
                <w:b/>
                <w:color w:val="auto"/>
                <w:szCs w:val="21"/>
                <w:lang w:eastAsia="zh-CN"/>
              </w:rPr>
              <w:t>目标</w:t>
            </w:r>
            <w:r>
              <w:rPr>
                <w:rFonts w:hint="eastAsia" w:ascii="Times New Roman" w:hAnsi="Times New Roman" w:eastAsia="方正仿宋_GBK" w:cs="Times New Roman"/>
                <w:b/>
                <w:color w:val="auto"/>
                <w:szCs w:val="21"/>
                <w:lang w:val="en-US" w:eastAsia="zh-CN"/>
              </w:rPr>
              <w:t>2</w:t>
            </w:r>
            <w:r>
              <w:rPr>
                <w:rFonts w:hint="default" w:ascii="Times New Roman" w:hAnsi="Times New Roman" w:eastAsia="方正仿宋_GBK" w:cs="Times New Roman"/>
                <w:b/>
                <w:color w:val="auto"/>
                <w:szCs w:val="21"/>
                <w:lang w:val="en-US" w:eastAsia="zh-CN"/>
              </w:rPr>
              <w:t>：</w:t>
            </w:r>
            <w:r>
              <w:rPr>
                <w:rFonts w:hint="default" w:ascii="Times New Roman" w:hAnsi="Times New Roman" w:eastAsia="方正仿宋_GBK" w:cs="Times New Roman"/>
                <w:b w:val="0"/>
                <w:bCs/>
                <w:szCs w:val="21"/>
                <w:lang w:val="en-US" w:eastAsia="zh-CN"/>
              </w:rPr>
              <w:t>吉林省汇聚各政府职能部门网站及政务服务数据资源，实现政府信息资源的集约、综合和规模效应；避免重复建设、重复监管和重复运维等资源浪费的问题，为实现“以技辅政”提供基础平台，实现政府信息“一网通查”、政务服务“一网通办”、互动交流“一网通答”，打造全面的政务公开平台、权威的政策发布解读和舆论引导平台、及时地便民服务平台，建设亲民便民、精准服务、整体协同、透明高效的网站政府。推进吉林省内三级62个政务服务网站的融合建设工作，实现42家政府部门网站的无障碍浏览，完成10个部门网站向集约化迁移和5个部门网站新建。</w:t>
            </w:r>
          </w:p>
          <w:p>
            <w:pPr>
              <w:jc w:val="left"/>
              <w:rPr>
                <w:rFonts w:hint="default" w:ascii="Times New Roman" w:hAnsi="Times New Roman" w:eastAsia="方正仿宋_GBK" w:cs="Times New Roman"/>
                <w:color w:val="FF0000"/>
                <w:szCs w:val="21"/>
              </w:rPr>
            </w:pPr>
          </w:p>
          <w:p>
            <w:pPr>
              <w:jc w:val="left"/>
              <w:rPr>
                <w:rFonts w:hint="default" w:ascii="Times New Roman" w:hAnsi="Times New Roman" w:eastAsia="方正仿宋_GBK" w:cs="Times New Roman"/>
                <w:b w:val="0"/>
                <w:bCs/>
                <w:color w:val="auto"/>
                <w:szCs w:val="21"/>
                <w:lang w:eastAsia="zh-CN"/>
              </w:rPr>
            </w:pPr>
            <w:r>
              <w:rPr>
                <w:rFonts w:hint="default" w:ascii="Times New Roman" w:hAnsi="Times New Roman" w:eastAsia="方正仿宋_GBK" w:cs="Times New Roman"/>
                <w:b/>
                <w:color w:val="auto"/>
                <w:szCs w:val="21"/>
              </w:rPr>
              <w:t>目标</w:t>
            </w:r>
            <w:r>
              <w:rPr>
                <w:rFonts w:hint="eastAsia" w:ascii="Times New Roman" w:hAnsi="Times New Roman" w:eastAsia="方正仿宋_GBK" w:cs="Times New Roman"/>
                <w:b/>
                <w:color w:val="auto"/>
                <w:szCs w:val="21"/>
                <w:lang w:val="en-US" w:eastAsia="zh-CN"/>
              </w:rPr>
              <w:t>3</w:t>
            </w:r>
            <w:r>
              <w:rPr>
                <w:rFonts w:hint="default" w:ascii="Times New Roman" w:hAnsi="Times New Roman" w:eastAsia="方正仿宋_GBK" w:cs="Times New Roman"/>
                <w:b/>
                <w:color w:val="auto"/>
                <w:szCs w:val="21"/>
              </w:rPr>
              <w:t>：</w:t>
            </w:r>
            <w:r>
              <w:rPr>
                <w:rFonts w:hint="default" w:ascii="Times New Roman" w:hAnsi="Times New Roman" w:eastAsia="方正仿宋_GBK" w:cs="Times New Roman"/>
                <w:b w:val="0"/>
                <w:bCs/>
                <w:szCs w:val="21"/>
                <w:lang w:val="en-US" w:eastAsia="zh-CN"/>
              </w:rPr>
              <w:t>安徽省建设全省政府网站集约化平台，打通信息壁垒，推动政务信息资源共享；建设以省政府门户网站为龙头，省政府各部门、各市政府网站为支撑，整体联动、高效惠民的网上政府；建设全省统一信息资源库，实现政府网站信息资源相互调用和互认共享。建设省级政府网站集约化平台，编制集约化平台建设标准规范，实现平台资源统一调用、统一监管；建设省级和16个市信息资源库，汇聚沉淀全省政府网站信息数据，实现分类科学、集中规范、共享共用；对省级政府网站集约化平台进行安全备份。</w:t>
            </w:r>
          </w:p>
          <w:p>
            <w:pPr>
              <w:jc w:val="left"/>
              <w:rPr>
                <w:rFonts w:hint="default" w:ascii="Times New Roman" w:hAnsi="Times New Roman" w:eastAsia="方正仿宋_GBK" w:cs="Times New Roman"/>
                <w:color w:val="FF0000"/>
                <w:szCs w:val="21"/>
              </w:rPr>
            </w:pPr>
          </w:p>
          <w:p>
            <w:pPr>
              <w:jc w:val="left"/>
              <w:rPr>
                <w:rFonts w:hint="default" w:ascii="Times New Roman" w:hAnsi="Times New Roman" w:eastAsia="方正仿宋_GBK" w:cs="Times New Roman"/>
                <w:b/>
                <w:color w:val="auto"/>
                <w:szCs w:val="21"/>
              </w:rPr>
            </w:pPr>
            <w:r>
              <w:rPr>
                <w:rFonts w:hint="default" w:ascii="Times New Roman" w:hAnsi="Times New Roman" w:eastAsia="方正仿宋_GBK" w:cs="Times New Roman"/>
                <w:b/>
                <w:color w:val="auto"/>
                <w:szCs w:val="21"/>
              </w:rPr>
              <w:t>目标</w:t>
            </w:r>
            <w:r>
              <w:rPr>
                <w:rFonts w:hint="eastAsia" w:ascii="Times New Roman" w:hAnsi="Times New Roman" w:eastAsia="方正仿宋_GBK" w:cs="Times New Roman"/>
                <w:b/>
                <w:color w:val="auto"/>
                <w:szCs w:val="21"/>
                <w:lang w:val="en-US" w:eastAsia="zh-CN"/>
              </w:rPr>
              <w:t>4</w:t>
            </w:r>
            <w:r>
              <w:rPr>
                <w:rFonts w:hint="default" w:ascii="Times New Roman" w:hAnsi="Times New Roman" w:eastAsia="方正仿宋_GBK" w:cs="Times New Roman"/>
                <w:b/>
                <w:color w:val="auto"/>
                <w:szCs w:val="21"/>
              </w:rPr>
              <w:t>：</w:t>
            </w:r>
            <w:r>
              <w:rPr>
                <w:rFonts w:hint="default" w:ascii="Times New Roman" w:hAnsi="Times New Roman" w:eastAsia="方正仿宋_GBK" w:cs="Times New Roman"/>
                <w:b w:val="0"/>
                <w:bCs/>
                <w:szCs w:val="21"/>
                <w:lang w:val="en-US" w:eastAsia="zh-CN"/>
              </w:rPr>
              <w:t>山东省建设完善省政府网站集约化平台，建设网站信息资源库，推动网站集约化平台与其他办事平台的对接应用和协同服务，完善网站集约化整合的技术标准和管理规范，形成一个平台（网站集约化平台）、一套标准（网站集约化平台的标准规范体系）、一个数据库（信息资源库建设）、一体化服务、一体化安全保障的“五个一”服务体系。</w:t>
            </w:r>
          </w:p>
          <w:p>
            <w:pPr>
              <w:jc w:val="left"/>
              <w:rPr>
                <w:rFonts w:hint="default" w:ascii="Times New Roman" w:hAnsi="Times New Roman" w:eastAsia="方正仿宋_GBK" w:cs="Times New Roman"/>
                <w:color w:val="auto"/>
                <w:szCs w:val="21"/>
              </w:rPr>
            </w:pPr>
          </w:p>
          <w:p>
            <w:pPr>
              <w:jc w:val="left"/>
              <w:rPr>
                <w:rFonts w:hint="default" w:ascii="Times New Roman" w:hAnsi="Times New Roman" w:eastAsia="方正仿宋_GBK" w:cs="Times New Roman"/>
                <w:color w:val="auto"/>
                <w:szCs w:val="21"/>
              </w:rPr>
            </w:pPr>
            <w:r>
              <w:rPr>
                <w:rFonts w:hint="default" w:ascii="Times New Roman" w:hAnsi="Times New Roman" w:eastAsia="方正仿宋_GBK" w:cs="Times New Roman"/>
                <w:b/>
                <w:color w:val="auto"/>
                <w:szCs w:val="21"/>
              </w:rPr>
              <w:t>目标</w:t>
            </w:r>
            <w:r>
              <w:rPr>
                <w:rFonts w:hint="eastAsia" w:ascii="Times New Roman" w:hAnsi="Times New Roman" w:eastAsia="方正仿宋_GBK" w:cs="Times New Roman"/>
                <w:b/>
                <w:color w:val="auto"/>
                <w:szCs w:val="21"/>
                <w:lang w:val="en-US" w:eastAsia="zh-CN"/>
              </w:rPr>
              <w:t>5</w:t>
            </w:r>
            <w:r>
              <w:rPr>
                <w:rFonts w:hint="default" w:ascii="Times New Roman" w:hAnsi="Times New Roman" w:eastAsia="方正仿宋_GBK" w:cs="Times New Roman"/>
                <w:b/>
                <w:color w:val="auto"/>
                <w:szCs w:val="21"/>
              </w:rPr>
              <w:t>：</w:t>
            </w:r>
            <w:r>
              <w:rPr>
                <w:rFonts w:hint="default" w:ascii="Times New Roman" w:hAnsi="Times New Roman" w:eastAsia="方正仿宋_GBK" w:cs="Times New Roman"/>
                <w:b w:val="0"/>
                <w:bCs/>
                <w:szCs w:val="21"/>
                <w:lang w:eastAsia="zh-CN"/>
              </w:rPr>
              <w:t>湖北省依托</w:t>
            </w:r>
            <w:r>
              <w:rPr>
                <w:rFonts w:hint="default" w:ascii="Times New Roman" w:hAnsi="Times New Roman" w:eastAsia="方正仿宋_GBK" w:cs="Times New Roman"/>
                <w:b w:val="0"/>
                <w:bCs/>
                <w:szCs w:val="21"/>
                <w:lang w:val="en-US" w:eastAsia="zh-CN"/>
              </w:rPr>
              <w:t>本项目建成覆盖“省、市两级集约、整体联动、部门协同、资源共享”的湖北省政府网站集约化平台。省政府门户网站及各部门网站全部迁移至集约化平台，市级政府网站数据按照湖北省政府网站集约化建设标准规范有关要求汇聚至全省政府网站统一信息资源库，完成数据对接。</w:t>
            </w:r>
          </w:p>
          <w:p>
            <w:pPr>
              <w:jc w:val="left"/>
              <w:rPr>
                <w:rFonts w:hint="default" w:ascii="Times New Roman" w:hAnsi="Times New Roman" w:eastAsia="方正仿宋_GBK" w:cs="Times New Roman"/>
                <w:color w:val="FF0000"/>
                <w:szCs w:val="21"/>
              </w:rPr>
            </w:pPr>
          </w:p>
          <w:p>
            <w:pPr>
              <w:jc w:val="left"/>
              <w:rPr>
                <w:rFonts w:hint="default" w:ascii="Times New Roman" w:hAnsi="Times New Roman" w:eastAsia="方正仿宋_GBK" w:cs="Times New Roman"/>
                <w:b w:val="0"/>
                <w:bCs/>
                <w:color w:val="auto"/>
                <w:szCs w:val="21"/>
              </w:rPr>
            </w:pPr>
            <w:r>
              <w:rPr>
                <w:rFonts w:hint="default" w:ascii="Times New Roman" w:hAnsi="Times New Roman" w:eastAsia="方正仿宋_GBK" w:cs="Times New Roman"/>
                <w:b/>
                <w:color w:val="auto"/>
                <w:szCs w:val="21"/>
              </w:rPr>
              <w:t>目标</w:t>
            </w:r>
            <w:r>
              <w:rPr>
                <w:rFonts w:hint="eastAsia" w:ascii="Times New Roman" w:hAnsi="Times New Roman" w:eastAsia="方正仿宋_GBK" w:cs="Times New Roman"/>
                <w:b/>
                <w:color w:val="auto"/>
                <w:szCs w:val="21"/>
                <w:lang w:val="en-US" w:eastAsia="zh-CN"/>
              </w:rPr>
              <w:t>6</w:t>
            </w:r>
            <w:r>
              <w:rPr>
                <w:rFonts w:hint="default" w:ascii="Times New Roman" w:hAnsi="Times New Roman" w:eastAsia="方正仿宋_GBK" w:cs="Times New Roman"/>
                <w:b/>
                <w:color w:val="auto"/>
                <w:szCs w:val="21"/>
              </w:rPr>
              <w:t>：</w:t>
            </w:r>
            <w:r>
              <w:rPr>
                <w:rFonts w:hint="default" w:ascii="Times New Roman" w:hAnsi="Times New Roman" w:eastAsia="方正仿宋_GBK" w:cs="Times New Roman"/>
                <w:b w:val="0"/>
                <w:bCs/>
                <w:szCs w:val="21"/>
                <w:lang w:eastAsia="zh-CN"/>
              </w:rPr>
              <w:t>湖南省</w:t>
            </w:r>
            <w:r>
              <w:rPr>
                <w:rFonts w:hint="default" w:ascii="Times New Roman" w:hAnsi="Times New Roman" w:eastAsia="方正仿宋_GBK" w:cs="Times New Roman"/>
                <w:b w:val="0"/>
                <w:bCs/>
                <w:szCs w:val="21"/>
              </w:rPr>
              <w:t>采用统分结合的建设模式，完成省级政府</w:t>
            </w:r>
            <w:r>
              <w:rPr>
                <w:rFonts w:hint="default" w:ascii="Times New Roman" w:hAnsi="Times New Roman" w:eastAsia="方正仿宋_GBK" w:cs="Times New Roman"/>
                <w:b w:val="0"/>
                <w:bCs/>
                <w:szCs w:val="21"/>
                <w:lang w:eastAsia="zh-CN"/>
              </w:rPr>
              <w:t>“</w:t>
            </w:r>
            <w:r>
              <w:rPr>
                <w:rFonts w:hint="default" w:ascii="Times New Roman" w:hAnsi="Times New Roman" w:eastAsia="方正仿宋_GBK" w:cs="Times New Roman"/>
                <w:b w:val="0"/>
                <w:bCs/>
                <w:szCs w:val="21"/>
              </w:rPr>
              <w:t>五统一、两优化、两提升</w:t>
            </w:r>
            <w:r>
              <w:rPr>
                <w:rFonts w:hint="default" w:ascii="Times New Roman" w:hAnsi="Times New Roman" w:eastAsia="方正仿宋_GBK" w:cs="Times New Roman"/>
                <w:b w:val="0"/>
                <w:bCs/>
                <w:szCs w:val="21"/>
                <w:lang w:eastAsia="zh-CN"/>
              </w:rPr>
              <w:t>”</w:t>
            </w:r>
            <w:r>
              <w:rPr>
                <w:rFonts w:hint="default" w:ascii="Times New Roman" w:hAnsi="Times New Roman" w:eastAsia="方正仿宋_GBK" w:cs="Times New Roman"/>
                <w:b w:val="0"/>
                <w:bCs/>
                <w:szCs w:val="21"/>
              </w:rPr>
              <w:t>的集约化建设任务，即全省统一的标准规范、全省统一的信息资源库矩阵、全省统一的智能搜索、全省统一的智能问答、全省统一的互动交流，优化省级政府网站集约化管理平台功能，优化省级政府网站用户体验，提升全省政府网站监管能力，提升省级政府网站安全保障与全省政府网站安全监测预警能力，实现全省政府网站省市两级</w:t>
            </w:r>
            <w:r>
              <w:rPr>
                <w:rFonts w:hint="default" w:ascii="Times New Roman" w:hAnsi="Times New Roman" w:eastAsia="方正仿宋_GBK" w:cs="Times New Roman"/>
                <w:b w:val="0"/>
                <w:bCs/>
                <w:szCs w:val="21"/>
                <w:lang w:eastAsia="zh-CN"/>
              </w:rPr>
              <w:t>“</w:t>
            </w:r>
            <w:r>
              <w:rPr>
                <w:rFonts w:hint="default" w:ascii="Times New Roman" w:hAnsi="Times New Roman" w:eastAsia="方正仿宋_GBK" w:cs="Times New Roman"/>
                <w:b w:val="0"/>
                <w:bCs/>
                <w:szCs w:val="21"/>
              </w:rPr>
              <w:t>六集约</w:t>
            </w:r>
            <w:r>
              <w:rPr>
                <w:rFonts w:hint="default" w:ascii="Times New Roman" w:hAnsi="Times New Roman" w:eastAsia="方正仿宋_GBK" w:cs="Times New Roman"/>
                <w:b w:val="0"/>
                <w:bCs/>
                <w:szCs w:val="21"/>
                <w:lang w:eastAsia="zh-CN"/>
              </w:rPr>
              <w:t>”</w:t>
            </w:r>
            <w:r>
              <w:rPr>
                <w:rFonts w:hint="default" w:ascii="Times New Roman" w:hAnsi="Times New Roman" w:eastAsia="方正仿宋_GBK" w:cs="Times New Roman"/>
                <w:b w:val="0"/>
                <w:bCs/>
                <w:szCs w:val="21"/>
              </w:rPr>
              <w:t>，即数据全省集约，平台、服务、管理、安全、资金省、市集约，全省政务信息资源数据统一汇聚，集约化管理平台互联融通，应用服务水平显著提升，联动管理效能明显提高，网站安全保障体系全面夯实，建设资金高效利用，形成平台整合安全、资源优化融合、数据互认共享、管理统筹规范、服务便捷高效的湖南省政府网站发展新格局。</w:t>
            </w:r>
          </w:p>
          <w:p>
            <w:pPr>
              <w:jc w:val="left"/>
              <w:rPr>
                <w:rFonts w:hint="default" w:ascii="Times New Roman" w:hAnsi="Times New Roman" w:eastAsia="方正仿宋_GBK" w:cs="Times New Roman"/>
                <w:color w:val="FF0000"/>
                <w:szCs w:val="21"/>
              </w:rPr>
            </w:pPr>
          </w:p>
          <w:p>
            <w:pPr>
              <w:jc w:val="left"/>
              <w:rPr>
                <w:rFonts w:hint="default" w:ascii="Times New Roman" w:hAnsi="Times New Roman" w:eastAsia="方正仿宋_GBK" w:cs="Times New Roman"/>
                <w:b w:val="0"/>
                <w:bCs/>
                <w:color w:val="auto"/>
                <w:szCs w:val="21"/>
              </w:rPr>
            </w:pPr>
            <w:r>
              <w:rPr>
                <w:rFonts w:hint="default" w:ascii="Times New Roman" w:hAnsi="Times New Roman" w:eastAsia="方正仿宋_GBK" w:cs="Times New Roman"/>
                <w:b/>
                <w:color w:val="auto"/>
                <w:szCs w:val="21"/>
              </w:rPr>
              <w:t>目标</w:t>
            </w:r>
            <w:r>
              <w:rPr>
                <w:rFonts w:hint="eastAsia" w:ascii="Times New Roman" w:hAnsi="Times New Roman" w:eastAsia="方正仿宋_GBK" w:cs="Times New Roman"/>
                <w:b/>
                <w:color w:val="auto"/>
                <w:szCs w:val="21"/>
                <w:lang w:val="en-US" w:eastAsia="zh-CN"/>
              </w:rPr>
              <w:t>7</w:t>
            </w:r>
            <w:r>
              <w:rPr>
                <w:rFonts w:hint="default" w:ascii="Times New Roman" w:hAnsi="Times New Roman" w:eastAsia="方正仿宋_GBK" w:cs="Times New Roman"/>
                <w:b/>
                <w:color w:val="auto"/>
                <w:szCs w:val="21"/>
              </w:rPr>
              <w:t>：</w:t>
            </w:r>
            <w:r>
              <w:rPr>
                <w:rFonts w:hint="default" w:ascii="Times New Roman" w:hAnsi="Times New Roman" w:eastAsia="方正仿宋_GBK" w:cs="Times New Roman"/>
                <w:b w:val="0"/>
                <w:bCs/>
                <w:szCs w:val="21"/>
              </w:rPr>
              <w:t>广东省通过构建以省平台为主干，统一应用支撑，21个地市分级部署，各自创新发展，共根源同主干、多枝叶齐创新的“榕树型”集约化平台，建立“两融合”（集约化平台与政务服务网）、“五统一”（统一信息资源库为基础，统一标准体系为规范，统一技术平台为载体，统一安全防护为保障，统一运维监管为支撑）、“双保险”（实时智能监控预警与线下人工常态监管）一体化集约体系，围绕服务人民打造“七大”服务、支撑网上履职打造“八大”应用，将政府网站打造成更加全面的政务公开平台、更加权威的政策发布解读和舆论引导平台、更加及时的回应关切和便民服务平台，一体融入广东“数字政府”，建设整体联动、高效惠民的网上政府。</w:t>
            </w:r>
          </w:p>
          <w:p>
            <w:pPr>
              <w:jc w:val="left"/>
              <w:rPr>
                <w:rFonts w:hint="default" w:ascii="Times New Roman" w:hAnsi="Times New Roman" w:eastAsia="方正仿宋_GBK" w:cs="Times New Roman"/>
                <w:color w:val="FF0000"/>
                <w:szCs w:val="21"/>
              </w:rPr>
            </w:pPr>
          </w:p>
          <w:p>
            <w:pPr>
              <w:jc w:val="left"/>
              <w:rPr>
                <w:rFonts w:hint="default" w:ascii="Times New Roman" w:hAnsi="Times New Roman" w:eastAsia="方正仿宋_GBK" w:cs="Times New Roman"/>
                <w:b w:val="0"/>
                <w:bCs/>
                <w:color w:val="auto"/>
                <w:szCs w:val="21"/>
              </w:rPr>
            </w:pPr>
            <w:r>
              <w:rPr>
                <w:rFonts w:hint="default" w:ascii="Times New Roman" w:hAnsi="Times New Roman" w:eastAsia="方正仿宋_GBK" w:cs="Times New Roman"/>
                <w:b/>
                <w:color w:val="auto"/>
                <w:szCs w:val="21"/>
              </w:rPr>
              <w:t>目标</w:t>
            </w:r>
            <w:r>
              <w:rPr>
                <w:rFonts w:hint="eastAsia" w:ascii="Times New Roman" w:hAnsi="Times New Roman" w:eastAsia="方正仿宋_GBK" w:cs="Times New Roman"/>
                <w:b/>
                <w:color w:val="auto"/>
                <w:szCs w:val="21"/>
                <w:lang w:val="en-US" w:eastAsia="zh-CN"/>
              </w:rPr>
              <w:t>8</w:t>
            </w:r>
            <w:r>
              <w:rPr>
                <w:rFonts w:hint="default" w:ascii="Times New Roman" w:hAnsi="Times New Roman" w:eastAsia="方正仿宋_GBK" w:cs="Times New Roman"/>
                <w:b/>
                <w:color w:val="auto"/>
                <w:szCs w:val="21"/>
              </w:rPr>
              <w:t>：</w:t>
            </w:r>
            <w:r>
              <w:rPr>
                <w:rFonts w:hint="default" w:ascii="Times New Roman" w:hAnsi="Times New Roman" w:eastAsia="方正仿宋_GBK" w:cs="Times New Roman"/>
                <w:b w:val="0"/>
                <w:bCs/>
                <w:szCs w:val="21"/>
              </w:rPr>
              <w:t>广西壮族自治区政府网站集约化平台支持IPv6，完成已建有政府网站集约化平台与广西政府网站集约化平台对接</w:t>
            </w:r>
            <w:r>
              <w:rPr>
                <w:rFonts w:hint="default" w:ascii="Times New Roman" w:hAnsi="Times New Roman" w:eastAsia="方正仿宋_GBK" w:cs="Times New Roman"/>
                <w:b w:val="0"/>
                <w:bCs/>
                <w:szCs w:val="21"/>
                <w:lang w:eastAsia="zh-CN"/>
              </w:rPr>
              <w:t>。基本建立</w:t>
            </w:r>
            <w:r>
              <w:rPr>
                <w:rFonts w:hint="default" w:ascii="Times New Roman" w:hAnsi="Times New Roman" w:eastAsia="方正仿宋_GBK" w:cs="Times New Roman"/>
                <w:b w:val="0"/>
                <w:bCs/>
                <w:szCs w:val="21"/>
              </w:rPr>
              <w:t>广西政府网站集约化平台标准规范体系、安全保障体系和运营管理体系，实现全区各级各类政府网站资源优化融合、平台整合安全、数据互认共享、管理统筹规范、服务便捷高效；整体协同、响应迅速的政务新媒体矩阵体系基本建立，全面提升政务新媒体传播力、引导力、影响力、公信力。</w:t>
            </w:r>
          </w:p>
          <w:p>
            <w:pPr>
              <w:jc w:val="left"/>
              <w:rPr>
                <w:rFonts w:hint="default" w:ascii="Times New Roman" w:hAnsi="Times New Roman" w:eastAsia="方正仿宋_GBK" w:cs="Times New Roman"/>
                <w:color w:val="FF0000"/>
                <w:szCs w:val="21"/>
              </w:rPr>
            </w:pPr>
          </w:p>
          <w:p>
            <w:pPr>
              <w:jc w:val="left"/>
              <w:rPr>
                <w:rFonts w:hint="default" w:ascii="Times New Roman" w:hAnsi="Times New Roman" w:eastAsia="方正仿宋_GBK" w:cs="Times New Roman"/>
                <w:color w:val="auto"/>
                <w:szCs w:val="21"/>
              </w:rPr>
            </w:pPr>
            <w:r>
              <w:rPr>
                <w:rFonts w:hint="default" w:ascii="Times New Roman" w:hAnsi="Times New Roman" w:eastAsia="方正仿宋_GBK" w:cs="Times New Roman"/>
                <w:b/>
                <w:color w:val="auto"/>
                <w:szCs w:val="21"/>
              </w:rPr>
              <w:t>目标</w:t>
            </w:r>
            <w:r>
              <w:rPr>
                <w:rFonts w:hint="eastAsia" w:ascii="Times New Roman" w:hAnsi="Times New Roman" w:eastAsia="方正仿宋_GBK" w:cs="Times New Roman"/>
                <w:b/>
                <w:color w:val="auto"/>
                <w:szCs w:val="21"/>
                <w:lang w:val="en-US" w:eastAsia="zh-CN"/>
              </w:rPr>
              <w:t>9</w:t>
            </w:r>
            <w:r>
              <w:rPr>
                <w:rFonts w:hint="default" w:ascii="Times New Roman" w:hAnsi="Times New Roman" w:eastAsia="方正仿宋_GBK" w:cs="Times New Roman"/>
                <w:b/>
                <w:color w:val="auto"/>
                <w:szCs w:val="21"/>
              </w:rPr>
              <w:t>：</w:t>
            </w:r>
            <w:r>
              <w:rPr>
                <w:rFonts w:hint="default" w:ascii="Times New Roman" w:hAnsi="Times New Roman" w:eastAsia="方正仿宋_GBK" w:cs="Times New Roman"/>
                <w:b w:val="0"/>
                <w:bCs/>
                <w:szCs w:val="21"/>
                <w:lang w:val="en-US" w:eastAsia="zh-CN"/>
              </w:rPr>
              <w:t>重庆市通过建设本地区统一的政府网站技术平台，形成标准规范，构建信息资源库，实现重庆市政府门户、市直部门和区（市）县政府网站的集约化整合、管理，提供一体化服务。通过“三个一、五个化”工程的实施，将重庆市政府网站集约化平台建设成全国市级政府网站集约化平台的标杆工程，创新“重庆模式”典型，强化安全保障，努力建设整体联动、高效惠民的网上政府。三个一：“建设一个技术平台，支撑一个整体政府，提供一套政务服务”，通过建设统一技术平台，在支撑政务数据的“存储、连通、利用”和业务的“汇聚、融和、创新”的基础上，构建一个重庆市整体网上政府，为社会公众提供统一的政务服务，形成整体政府服务能力和协同治理能力。五个化：即政府网站集约化平台的建设、运维、运营、服务要体现出“平台生态化、技术多元化、服务智能化、访问移动化、体验人性化”5个特色。</w:t>
            </w:r>
          </w:p>
          <w:p>
            <w:pPr>
              <w:jc w:val="left"/>
              <w:rPr>
                <w:rFonts w:hint="default" w:ascii="Times New Roman" w:hAnsi="Times New Roman" w:eastAsia="方正仿宋_GBK" w:cs="Times New Roman"/>
                <w:color w:val="FF0000"/>
                <w:szCs w:val="21"/>
              </w:rPr>
            </w:pPr>
          </w:p>
          <w:p>
            <w:pPr>
              <w:jc w:val="left"/>
              <w:rPr>
                <w:rFonts w:hint="default" w:ascii="Times New Roman" w:hAnsi="Times New Roman" w:eastAsia="方正仿宋_GBK" w:cs="Times New Roman"/>
                <w:color w:val="FF0000"/>
                <w:szCs w:val="21"/>
              </w:rPr>
            </w:pPr>
            <w:r>
              <w:rPr>
                <w:rFonts w:hint="default" w:ascii="Times New Roman" w:hAnsi="Times New Roman" w:eastAsia="方正仿宋_GBK" w:cs="Times New Roman"/>
                <w:b/>
                <w:color w:val="auto"/>
                <w:szCs w:val="21"/>
              </w:rPr>
              <w:t>目标</w:t>
            </w:r>
            <w:r>
              <w:rPr>
                <w:rFonts w:hint="eastAsia" w:ascii="Times New Roman" w:hAnsi="Times New Roman" w:eastAsia="方正仿宋_GBK" w:cs="Times New Roman"/>
                <w:b/>
                <w:color w:val="auto"/>
                <w:szCs w:val="21"/>
                <w:lang w:val="en-US" w:eastAsia="zh-CN"/>
              </w:rPr>
              <w:t>10</w:t>
            </w:r>
            <w:r>
              <w:rPr>
                <w:rFonts w:hint="default" w:ascii="Times New Roman" w:hAnsi="Times New Roman" w:eastAsia="方正仿宋_GBK" w:cs="Times New Roman"/>
                <w:b/>
                <w:color w:val="auto"/>
                <w:szCs w:val="21"/>
              </w:rPr>
              <w:t>：</w:t>
            </w:r>
            <w:r>
              <w:rPr>
                <w:rFonts w:hint="default" w:ascii="Times New Roman" w:hAnsi="Times New Roman" w:eastAsia="方正仿宋_GBK" w:cs="Times New Roman"/>
                <w:b w:val="0"/>
                <w:bCs/>
                <w:szCs w:val="21"/>
                <w:lang w:val="en-US" w:eastAsia="zh-CN"/>
              </w:rPr>
              <w:t>贵州采用省级统建模式，以政府网站集约化试点为抓手，打通信息壁垒、推进集约共享，提升政府服务和管理水平，努力建设整体联动、高效惠民的网上政府。在2019年12月底前完成政府网站集约化试点工作，实现全省各级各部门政府网站资源优化融合、平台整合安全、数据互认共享、管理统筹规范、服务便捷高效。</w:t>
            </w:r>
          </w:p>
          <w:p>
            <w:pPr>
              <w:jc w:val="left"/>
              <w:rPr>
                <w:rFonts w:hint="default" w:ascii="Times New Roman" w:hAnsi="Times New Roman" w:eastAsia="方正仿宋_GBK" w:cs="Times New Roman"/>
                <w:b w:val="0"/>
                <w:bCs/>
                <w:color w:val="FF0000"/>
                <w:szCs w:val="21"/>
              </w:rPr>
            </w:pPr>
          </w:p>
          <w:p>
            <w:pPr>
              <w:jc w:val="left"/>
              <w:rPr>
                <w:rFonts w:hint="default" w:ascii="Times New Roman" w:hAnsi="Times New Roman" w:eastAsia="方正仿宋_GBK" w:cs="Times New Roman"/>
                <w:b w:val="0"/>
                <w:bCs/>
                <w:szCs w:val="21"/>
                <w:lang w:val="en-US" w:eastAsia="zh-CN"/>
              </w:rPr>
            </w:pPr>
            <w:r>
              <w:rPr>
                <w:rFonts w:hint="default" w:ascii="Times New Roman" w:hAnsi="Times New Roman" w:eastAsia="方正仿宋_GBK" w:cs="Times New Roman"/>
                <w:b/>
                <w:color w:val="auto"/>
                <w:szCs w:val="21"/>
                <w:lang w:eastAsia="zh-CN"/>
              </w:rPr>
              <w:t>目标</w:t>
            </w:r>
            <w:r>
              <w:rPr>
                <w:rFonts w:hint="default" w:ascii="Times New Roman" w:hAnsi="Times New Roman" w:eastAsia="方正仿宋_GBK" w:cs="Times New Roman"/>
                <w:b/>
                <w:color w:val="auto"/>
                <w:szCs w:val="21"/>
                <w:lang w:val="en-US" w:eastAsia="zh-CN"/>
              </w:rPr>
              <w:t>1</w:t>
            </w:r>
            <w:r>
              <w:rPr>
                <w:rFonts w:hint="eastAsia" w:ascii="Times New Roman" w:hAnsi="Times New Roman" w:eastAsia="方正仿宋_GBK" w:cs="Times New Roman"/>
                <w:b/>
                <w:color w:val="auto"/>
                <w:szCs w:val="21"/>
                <w:lang w:val="en-US" w:eastAsia="zh-CN"/>
              </w:rPr>
              <w:t>1</w:t>
            </w:r>
            <w:r>
              <w:rPr>
                <w:rFonts w:hint="default" w:ascii="Times New Roman" w:hAnsi="Times New Roman" w:eastAsia="方正仿宋_GBK" w:cs="Times New Roman"/>
                <w:b/>
                <w:color w:val="auto"/>
                <w:szCs w:val="21"/>
                <w:lang w:val="en-US" w:eastAsia="zh-CN"/>
              </w:rPr>
              <w:t>：</w:t>
            </w:r>
            <w:r>
              <w:rPr>
                <w:rFonts w:hint="default" w:ascii="Times New Roman" w:hAnsi="Times New Roman" w:eastAsia="方正仿宋_GBK" w:cs="Times New Roman"/>
                <w:b w:val="0"/>
                <w:bCs/>
                <w:szCs w:val="21"/>
                <w:lang w:val="en-US" w:eastAsia="zh-CN"/>
              </w:rPr>
              <w:t>拉萨市构建形成统一标准体系、统一技术平台、统一安全防护、统一运维监管的“四统一”政府网站集约化体系，强化拉萨市政府网站的基础设施、技术平台、信息资源、政务服务集约化建设，促进基础设施资源和技术平台的统建共用、信息资源和政务服务的共建共享，整合拉萨市全市主要的各级政府门户网站，全面提升拉萨市政府网站集约化水平，实现拉萨市各级政府网站资源优化融合、平台整合安全、数据互认共享、管理统筹规范、服务便捷高效，推动以拉萨市政府门户网站为龙头，市直部门和区县网站为支撑，以移动APP作为移动端的总入口，打通跨部门业务流，初步融合10个政务服务事项、10个公共服务事项、10个便民服务事项，满足公众的服务需求，实现整体联动，面向全国乃至全球民众、企业高效地对接更多的政务服务。另外，搭建政务移动直播平台，将藏文化更加实时更加广泛地传播到全国乃至全球，与全球藏族同胞引起文化共鸣。</w:t>
            </w:r>
          </w:p>
          <w:p>
            <w:pPr>
              <w:jc w:val="left"/>
              <w:rPr>
                <w:rFonts w:hint="default" w:ascii="Times New Roman" w:hAnsi="Times New Roman" w:eastAsia="方正仿宋_GBK" w:cs="Times New Roman"/>
                <w:b w:val="0"/>
                <w:bCs/>
                <w:color w:val="auto"/>
                <w:szCs w:val="21"/>
                <w:lang w:eastAsia="zh-CN"/>
              </w:rPr>
            </w:pPr>
          </w:p>
          <w:p>
            <w:pPr>
              <w:jc w:val="left"/>
              <w:rPr>
                <w:rFonts w:hint="default" w:ascii="Times New Roman" w:hAnsi="Times New Roman" w:eastAsia="方正仿宋_GBK" w:cs="Times New Roman"/>
                <w:b w:val="0"/>
                <w:bCs/>
                <w:color w:val="auto"/>
                <w:szCs w:val="21"/>
                <w:lang w:eastAsia="zh-CN"/>
              </w:rPr>
            </w:pPr>
          </w:p>
          <w:p>
            <w:pPr>
              <w:jc w:val="left"/>
              <w:rPr>
                <w:rFonts w:hint="default" w:ascii="Times New Roman" w:hAnsi="Times New Roman" w:eastAsia="方正仿宋_GBK" w:cs="Times New Roman"/>
                <w:b w:val="0"/>
                <w:bCs/>
                <w:color w:val="auto"/>
                <w:szCs w:val="21"/>
                <w:lang w:eastAsia="zh-CN"/>
              </w:rPr>
            </w:pPr>
          </w:p>
          <w:p>
            <w:pPr>
              <w:jc w:val="left"/>
              <w:rPr>
                <w:rFonts w:hint="default" w:ascii="Times New Roman" w:hAnsi="Times New Roman" w:eastAsia="方正仿宋_GBK" w:cs="Times New Roman"/>
                <w:b w:val="0"/>
                <w:bCs/>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533" w:type="dxa"/>
            <w:vMerge w:val="restart"/>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绩</w:t>
            </w:r>
          </w:p>
          <w:p>
            <w:pPr>
              <w:jc w:val="center"/>
              <w:rPr>
                <w:rFonts w:hint="default" w:ascii="Times New Roman" w:hAnsi="Times New Roman" w:eastAsia="方正仿宋_GBK" w:cs="Times New Roman"/>
                <w:szCs w:val="21"/>
              </w:rPr>
            </w:pPr>
          </w:p>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效</w:t>
            </w:r>
          </w:p>
          <w:p>
            <w:pPr>
              <w:jc w:val="center"/>
              <w:rPr>
                <w:rFonts w:hint="default" w:ascii="Times New Roman" w:hAnsi="Times New Roman" w:eastAsia="方正仿宋_GBK" w:cs="Times New Roman"/>
                <w:szCs w:val="21"/>
              </w:rPr>
            </w:pPr>
          </w:p>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指</w:t>
            </w:r>
          </w:p>
          <w:p>
            <w:pPr>
              <w:jc w:val="center"/>
              <w:rPr>
                <w:rFonts w:hint="default" w:ascii="Times New Roman" w:hAnsi="Times New Roman" w:eastAsia="方正仿宋_GBK" w:cs="Times New Roman"/>
                <w:szCs w:val="21"/>
              </w:rPr>
            </w:pPr>
          </w:p>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标</w:t>
            </w:r>
          </w:p>
        </w:tc>
        <w:tc>
          <w:tcPr>
            <w:tcW w:w="1617" w:type="dxa"/>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一级指标</w:t>
            </w:r>
          </w:p>
        </w:tc>
        <w:tc>
          <w:tcPr>
            <w:tcW w:w="1575" w:type="dxa"/>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二级指标</w:t>
            </w:r>
          </w:p>
        </w:tc>
        <w:tc>
          <w:tcPr>
            <w:tcW w:w="3753" w:type="dxa"/>
            <w:gridSpan w:val="2"/>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三级指标</w:t>
            </w:r>
          </w:p>
        </w:tc>
        <w:tc>
          <w:tcPr>
            <w:tcW w:w="1412" w:type="dxa"/>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533" w:type="dxa"/>
            <w:vMerge w:val="continue"/>
            <w:vAlign w:val="center"/>
          </w:tcPr>
          <w:p>
            <w:pPr>
              <w:jc w:val="center"/>
              <w:rPr>
                <w:rFonts w:hint="default" w:ascii="Times New Roman" w:hAnsi="Times New Roman" w:eastAsia="方正仿宋_GBK" w:cs="Times New Roman"/>
                <w:szCs w:val="21"/>
              </w:rPr>
            </w:pPr>
          </w:p>
        </w:tc>
        <w:tc>
          <w:tcPr>
            <w:tcW w:w="1617" w:type="dxa"/>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实施效果指标</w:t>
            </w:r>
          </w:p>
        </w:tc>
        <w:tc>
          <w:tcPr>
            <w:tcW w:w="1575" w:type="dxa"/>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产出指标</w:t>
            </w:r>
          </w:p>
        </w:tc>
        <w:tc>
          <w:tcPr>
            <w:tcW w:w="3753" w:type="dxa"/>
            <w:gridSpan w:val="2"/>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支持项目数</w:t>
            </w:r>
          </w:p>
        </w:tc>
        <w:tc>
          <w:tcPr>
            <w:tcW w:w="1412"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11</w:t>
            </w:r>
            <w:r>
              <w:rPr>
                <w:rFonts w:hint="eastAsia" w:ascii="仿宋_GB2312" w:hAnsi="仿宋_GB2312" w:eastAsia="仿宋_GB2312" w:cs="仿宋_GB2312"/>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33" w:type="dxa"/>
            <w:vMerge w:val="continue"/>
            <w:vAlign w:val="center"/>
          </w:tcPr>
          <w:p>
            <w:pPr>
              <w:jc w:val="center"/>
              <w:rPr>
                <w:rFonts w:hint="default" w:ascii="Times New Roman" w:hAnsi="Times New Roman" w:eastAsia="方正仿宋_GBK" w:cs="Times New Roman"/>
                <w:szCs w:val="21"/>
              </w:rPr>
            </w:pPr>
          </w:p>
        </w:tc>
        <w:tc>
          <w:tcPr>
            <w:tcW w:w="1617" w:type="dxa"/>
            <w:vMerge w:val="restart"/>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过程管理指标</w:t>
            </w:r>
          </w:p>
        </w:tc>
        <w:tc>
          <w:tcPr>
            <w:tcW w:w="1575" w:type="dxa"/>
            <w:vMerge w:val="restart"/>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计划管理指标</w:t>
            </w:r>
          </w:p>
        </w:tc>
        <w:tc>
          <w:tcPr>
            <w:tcW w:w="3753" w:type="dxa"/>
            <w:gridSpan w:val="2"/>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投资计划分解（转发）用时达标率</w:t>
            </w:r>
          </w:p>
        </w:tc>
        <w:tc>
          <w:tcPr>
            <w:tcW w:w="1412"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val="en-US" w:eastAsia="zh-CN"/>
              </w:rPr>
              <w:t>85</w:t>
            </w: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33" w:type="dxa"/>
            <w:vMerge w:val="continue"/>
            <w:vAlign w:val="center"/>
          </w:tcPr>
          <w:p>
            <w:pPr>
              <w:jc w:val="center"/>
              <w:rPr>
                <w:rFonts w:hint="default" w:ascii="Times New Roman" w:hAnsi="Times New Roman" w:eastAsia="方正仿宋_GBK" w:cs="Times New Roman"/>
                <w:szCs w:val="21"/>
              </w:rPr>
            </w:pPr>
          </w:p>
        </w:tc>
        <w:tc>
          <w:tcPr>
            <w:tcW w:w="1617" w:type="dxa"/>
            <w:vMerge w:val="continue"/>
            <w:vAlign w:val="center"/>
          </w:tcPr>
          <w:p>
            <w:pPr>
              <w:jc w:val="center"/>
              <w:rPr>
                <w:rFonts w:hint="default" w:ascii="Times New Roman" w:hAnsi="Times New Roman" w:eastAsia="方正仿宋_GBK" w:cs="Times New Roman"/>
                <w:color w:val="auto"/>
                <w:szCs w:val="21"/>
              </w:rPr>
            </w:pPr>
          </w:p>
        </w:tc>
        <w:tc>
          <w:tcPr>
            <w:tcW w:w="1575" w:type="dxa"/>
            <w:vMerge w:val="continue"/>
            <w:vAlign w:val="center"/>
          </w:tcPr>
          <w:p>
            <w:pPr>
              <w:jc w:val="center"/>
              <w:rPr>
                <w:rFonts w:hint="default" w:ascii="Times New Roman" w:hAnsi="Times New Roman" w:eastAsia="方正仿宋_GBK" w:cs="Times New Roman"/>
                <w:color w:val="auto"/>
                <w:szCs w:val="21"/>
              </w:rPr>
            </w:pPr>
          </w:p>
        </w:tc>
        <w:tc>
          <w:tcPr>
            <w:tcW w:w="3753" w:type="dxa"/>
            <w:gridSpan w:val="2"/>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“两个责任”按项目落实到位率</w:t>
            </w:r>
          </w:p>
        </w:tc>
        <w:tc>
          <w:tcPr>
            <w:tcW w:w="1412"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val="en-US" w:eastAsia="zh-CN"/>
              </w:rPr>
              <w:t>85</w:t>
            </w: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33" w:type="dxa"/>
            <w:vMerge w:val="continue"/>
            <w:vAlign w:val="center"/>
          </w:tcPr>
          <w:p>
            <w:pPr>
              <w:jc w:val="center"/>
              <w:rPr>
                <w:rFonts w:hint="default" w:ascii="Times New Roman" w:hAnsi="Times New Roman" w:eastAsia="方正仿宋_GBK" w:cs="Times New Roman"/>
                <w:szCs w:val="21"/>
              </w:rPr>
            </w:pPr>
          </w:p>
        </w:tc>
        <w:tc>
          <w:tcPr>
            <w:tcW w:w="1617" w:type="dxa"/>
            <w:vMerge w:val="continue"/>
            <w:vAlign w:val="center"/>
          </w:tcPr>
          <w:p>
            <w:pPr>
              <w:jc w:val="center"/>
              <w:rPr>
                <w:rFonts w:hint="default" w:ascii="Times New Roman" w:hAnsi="Times New Roman" w:eastAsia="方正仿宋_GBK" w:cs="Times New Roman"/>
                <w:color w:val="auto"/>
                <w:szCs w:val="21"/>
              </w:rPr>
            </w:pPr>
          </w:p>
        </w:tc>
        <w:tc>
          <w:tcPr>
            <w:tcW w:w="1575" w:type="dxa"/>
            <w:vMerge w:val="restart"/>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资金管理指标</w:t>
            </w:r>
          </w:p>
        </w:tc>
        <w:tc>
          <w:tcPr>
            <w:tcW w:w="3753" w:type="dxa"/>
            <w:gridSpan w:val="2"/>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中央</w:t>
            </w:r>
            <w:r>
              <w:rPr>
                <w:rFonts w:hint="eastAsia" w:ascii="Times New Roman" w:hAnsi="Times New Roman" w:eastAsia="方正仿宋_GBK" w:cs="Times New Roman"/>
                <w:color w:val="auto"/>
                <w:szCs w:val="21"/>
                <w:lang w:eastAsia="zh-CN"/>
              </w:rPr>
              <w:t>基建</w:t>
            </w:r>
            <w:r>
              <w:rPr>
                <w:rFonts w:hint="default" w:ascii="Times New Roman" w:hAnsi="Times New Roman" w:eastAsia="方正仿宋_GBK" w:cs="Times New Roman"/>
                <w:color w:val="auto"/>
                <w:szCs w:val="21"/>
              </w:rPr>
              <w:t>投资</w:t>
            </w:r>
            <w:r>
              <w:rPr>
                <w:rFonts w:hint="eastAsia" w:ascii="Times New Roman" w:hAnsi="Times New Roman" w:eastAsia="方正仿宋_GBK" w:cs="Times New Roman"/>
                <w:color w:val="auto"/>
                <w:szCs w:val="21"/>
                <w:lang w:eastAsia="zh-CN"/>
              </w:rPr>
              <w:t>执行</w:t>
            </w:r>
            <w:r>
              <w:rPr>
                <w:rFonts w:hint="default" w:ascii="Times New Roman" w:hAnsi="Times New Roman" w:eastAsia="方正仿宋_GBK" w:cs="Times New Roman"/>
                <w:color w:val="auto"/>
                <w:szCs w:val="21"/>
              </w:rPr>
              <w:t>率</w:t>
            </w:r>
          </w:p>
        </w:tc>
        <w:tc>
          <w:tcPr>
            <w:tcW w:w="1412"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val="en-US" w:eastAsia="zh-CN"/>
              </w:rPr>
              <w:t>90</w:t>
            </w: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33" w:type="dxa"/>
            <w:vMerge w:val="continue"/>
            <w:vAlign w:val="center"/>
          </w:tcPr>
          <w:p>
            <w:pPr>
              <w:jc w:val="center"/>
              <w:rPr>
                <w:rFonts w:hint="default" w:ascii="Times New Roman" w:hAnsi="Times New Roman" w:eastAsia="方正仿宋_GBK" w:cs="Times New Roman"/>
                <w:szCs w:val="21"/>
              </w:rPr>
            </w:pPr>
          </w:p>
        </w:tc>
        <w:tc>
          <w:tcPr>
            <w:tcW w:w="1617" w:type="dxa"/>
            <w:vMerge w:val="continue"/>
            <w:vAlign w:val="center"/>
          </w:tcPr>
          <w:p>
            <w:pPr>
              <w:jc w:val="center"/>
              <w:rPr>
                <w:rFonts w:hint="default" w:ascii="Times New Roman" w:hAnsi="Times New Roman" w:eastAsia="方正仿宋_GBK" w:cs="Times New Roman"/>
                <w:color w:val="auto"/>
                <w:szCs w:val="21"/>
              </w:rPr>
            </w:pPr>
          </w:p>
        </w:tc>
        <w:tc>
          <w:tcPr>
            <w:tcW w:w="1575" w:type="dxa"/>
            <w:vMerge w:val="continue"/>
            <w:vAlign w:val="center"/>
          </w:tcPr>
          <w:p>
            <w:pPr>
              <w:jc w:val="center"/>
              <w:rPr>
                <w:rFonts w:hint="default" w:ascii="Times New Roman" w:hAnsi="Times New Roman" w:eastAsia="方正仿宋_GBK" w:cs="Times New Roman"/>
                <w:color w:val="auto"/>
                <w:szCs w:val="21"/>
              </w:rPr>
            </w:pPr>
          </w:p>
        </w:tc>
        <w:tc>
          <w:tcPr>
            <w:tcW w:w="3753" w:type="dxa"/>
            <w:gridSpan w:val="2"/>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总投资完成率</w:t>
            </w:r>
          </w:p>
        </w:tc>
        <w:tc>
          <w:tcPr>
            <w:tcW w:w="1412"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val="en-US" w:eastAsia="zh-CN"/>
              </w:rPr>
              <w:t>90</w:t>
            </w: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33" w:type="dxa"/>
            <w:vMerge w:val="continue"/>
            <w:vAlign w:val="center"/>
          </w:tcPr>
          <w:p>
            <w:pPr>
              <w:jc w:val="center"/>
              <w:rPr>
                <w:rFonts w:hint="default" w:ascii="Times New Roman" w:hAnsi="Times New Roman" w:eastAsia="方正仿宋_GBK" w:cs="Times New Roman"/>
                <w:szCs w:val="21"/>
              </w:rPr>
            </w:pPr>
          </w:p>
        </w:tc>
        <w:tc>
          <w:tcPr>
            <w:tcW w:w="1617" w:type="dxa"/>
            <w:vMerge w:val="continue"/>
            <w:vAlign w:val="center"/>
          </w:tcPr>
          <w:p>
            <w:pPr>
              <w:jc w:val="center"/>
              <w:rPr>
                <w:rFonts w:hint="default" w:ascii="Times New Roman" w:hAnsi="Times New Roman" w:eastAsia="方正仿宋_GBK" w:cs="Times New Roman"/>
                <w:color w:val="auto"/>
                <w:szCs w:val="21"/>
              </w:rPr>
            </w:pPr>
          </w:p>
        </w:tc>
        <w:tc>
          <w:tcPr>
            <w:tcW w:w="1575" w:type="dxa"/>
            <w:vMerge w:val="restart"/>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项目管理指标</w:t>
            </w:r>
          </w:p>
        </w:tc>
        <w:tc>
          <w:tcPr>
            <w:tcW w:w="3753" w:type="dxa"/>
            <w:gridSpan w:val="2"/>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项目开工率</w:t>
            </w:r>
          </w:p>
        </w:tc>
        <w:tc>
          <w:tcPr>
            <w:tcW w:w="1412"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val="en-US" w:eastAsia="zh-CN"/>
              </w:rPr>
              <w:t>90</w:t>
            </w: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33" w:type="dxa"/>
            <w:vMerge w:val="continue"/>
            <w:vAlign w:val="center"/>
          </w:tcPr>
          <w:p>
            <w:pPr>
              <w:jc w:val="center"/>
              <w:rPr>
                <w:rFonts w:hint="default" w:ascii="Times New Roman" w:hAnsi="Times New Roman" w:eastAsia="方正仿宋_GBK" w:cs="Times New Roman"/>
                <w:szCs w:val="21"/>
              </w:rPr>
            </w:pPr>
          </w:p>
        </w:tc>
        <w:tc>
          <w:tcPr>
            <w:tcW w:w="1617" w:type="dxa"/>
            <w:vMerge w:val="continue"/>
            <w:vAlign w:val="center"/>
          </w:tcPr>
          <w:p>
            <w:pPr>
              <w:jc w:val="center"/>
              <w:rPr>
                <w:rFonts w:hint="default" w:ascii="Times New Roman" w:hAnsi="Times New Roman" w:eastAsia="方正仿宋_GBK" w:cs="Times New Roman"/>
                <w:szCs w:val="21"/>
              </w:rPr>
            </w:pPr>
          </w:p>
        </w:tc>
        <w:tc>
          <w:tcPr>
            <w:tcW w:w="1575" w:type="dxa"/>
            <w:vMerge w:val="continue"/>
          </w:tcPr>
          <w:p>
            <w:pPr>
              <w:jc w:val="center"/>
              <w:rPr>
                <w:rFonts w:hint="default" w:ascii="Times New Roman" w:hAnsi="Times New Roman" w:eastAsia="方正仿宋_GBK" w:cs="Times New Roman"/>
                <w:szCs w:val="21"/>
              </w:rPr>
            </w:pPr>
          </w:p>
        </w:tc>
        <w:tc>
          <w:tcPr>
            <w:tcW w:w="3753" w:type="dxa"/>
            <w:gridSpan w:val="2"/>
            <w:vAlign w:val="center"/>
          </w:tcPr>
          <w:p>
            <w:pPr>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超规模、超标准、超概算项目比例</w:t>
            </w:r>
          </w:p>
        </w:tc>
        <w:tc>
          <w:tcPr>
            <w:tcW w:w="1412" w:type="dxa"/>
            <w:vAlign w:val="center"/>
          </w:tcPr>
          <w:p>
            <w:pPr>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val="en-US" w:eastAsia="zh-CN"/>
              </w:rPr>
              <w:t>5</w:t>
            </w:r>
            <w:r>
              <w:rPr>
                <w:rFonts w:hint="eastAsia" w:ascii="仿宋_GB2312" w:hAnsi="仿宋_GB2312" w:eastAsia="仿宋_GB2312"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533" w:type="dxa"/>
            <w:vMerge w:val="continue"/>
            <w:vAlign w:val="center"/>
          </w:tcPr>
          <w:p>
            <w:pPr>
              <w:jc w:val="center"/>
              <w:rPr>
                <w:rFonts w:hint="default" w:ascii="Times New Roman" w:hAnsi="Times New Roman" w:eastAsia="方正仿宋_GBK" w:cs="Times New Roman"/>
                <w:szCs w:val="21"/>
              </w:rPr>
            </w:pPr>
          </w:p>
        </w:tc>
        <w:tc>
          <w:tcPr>
            <w:tcW w:w="1617" w:type="dxa"/>
            <w:vMerge w:val="continue"/>
            <w:vAlign w:val="center"/>
          </w:tcPr>
          <w:p>
            <w:pPr>
              <w:jc w:val="center"/>
              <w:rPr>
                <w:rFonts w:hint="default" w:ascii="Times New Roman" w:hAnsi="Times New Roman" w:eastAsia="方正仿宋_GBK" w:cs="Times New Roman"/>
                <w:szCs w:val="21"/>
              </w:rPr>
            </w:pPr>
          </w:p>
        </w:tc>
        <w:tc>
          <w:tcPr>
            <w:tcW w:w="1575" w:type="dxa"/>
            <w:vAlign w:val="center"/>
          </w:tcPr>
          <w:p>
            <w:pPr>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监督检查指标</w:t>
            </w:r>
          </w:p>
        </w:tc>
        <w:tc>
          <w:tcPr>
            <w:tcW w:w="3753" w:type="dxa"/>
            <w:gridSpan w:val="2"/>
            <w:vAlign w:val="center"/>
          </w:tcPr>
          <w:p>
            <w:pPr>
              <w:snapToGrid w:val="0"/>
              <w:jc w:val="center"/>
              <w:rPr>
                <w:rFonts w:hint="default" w:ascii="Times New Roman" w:hAnsi="Times New Roman" w:eastAsia="方正仿宋_GBK" w:cs="Times New Roman"/>
                <w:color w:val="auto"/>
                <w:szCs w:val="21"/>
              </w:rPr>
            </w:pPr>
            <w:r>
              <w:rPr>
                <w:rFonts w:hint="default" w:ascii="Times New Roman" w:hAnsi="Times New Roman" w:eastAsia="方正仿宋_GBK" w:cs="Times New Roman"/>
                <w:color w:val="auto"/>
                <w:szCs w:val="21"/>
              </w:rPr>
              <w:t>审计、督查、巡视等指出问题项目比例</w:t>
            </w:r>
          </w:p>
        </w:tc>
        <w:tc>
          <w:tcPr>
            <w:tcW w:w="1412" w:type="dxa"/>
            <w:vAlign w:val="center"/>
          </w:tcPr>
          <w:p>
            <w:pPr>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0</w:t>
            </w:r>
          </w:p>
        </w:tc>
      </w:tr>
    </w:tbl>
    <w:p>
      <w:pPr>
        <w:snapToGrid w:val="0"/>
        <w:spacing w:line="588" w:lineRule="exact"/>
        <w:rPr>
          <w:rFonts w:ascii="方正仿宋_GBK" w:hAnsi="仿宋" w:eastAsia="方正仿宋_GBK"/>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814" w:right="1616" w:bottom="1814" w:left="1616"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77707"/>
      <w:docPartObj>
        <w:docPartGallery w:val="autotext"/>
      </w:docPartObj>
    </w:sdtPr>
    <w:sdtContent>
      <w:p>
        <w:pPr>
          <w:pStyle w:val="4"/>
          <w:ind w:firstLine="360"/>
          <w:jc w:val="center"/>
        </w:pPr>
      </w:p>
    </w:sdtContent>
  </w:sdt>
  <w:p>
    <w:pPr>
      <w:pStyle w:val="4"/>
      <w:ind w:firstLine="0" w:firstLineChars="0"/>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9A"/>
    <w:rsid w:val="000A2F8C"/>
    <w:rsid w:val="000A5E17"/>
    <w:rsid w:val="00173C58"/>
    <w:rsid w:val="001A03D3"/>
    <w:rsid w:val="001C10F8"/>
    <w:rsid w:val="001D1461"/>
    <w:rsid w:val="001E5BAA"/>
    <w:rsid w:val="002427BA"/>
    <w:rsid w:val="002B6C7D"/>
    <w:rsid w:val="002C4944"/>
    <w:rsid w:val="002F1893"/>
    <w:rsid w:val="002F3793"/>
    <w:rsid w:val="002F6C66"/>
    <w:rsid w:val="003142FB"/>
    <w:rsid w:val="0036409C"/>
    <w:rsid w:val="00372133"/>
    <w:rsid w:val="003B2291"/>
    <w:rsid w:val="0040218C"/>
    <w:rsid w:val="00431BD3"/>
    <w:rsid w:val="00444F17"/>
    <w:rsid w:val="00460859"/>
    <w:rsid w:val="00466E5C"/>
    <w:rsid w:val="00485CED"/>
    <w:rsid w:val="004C3DA5"/>
    <w:rsid w:val="004C5937"/>
    <w:rsid w:val="004E17A3"/>
    <w:rsid w:val="004E7C68"/>
    <w:rsid w:val="00532FB2"/>
    <w:rsid w:val="005B7288"/>
    <w:rsid w:val="005E064C"/>
    <w:rsid w:val="005F2687"/>
    <w:rsid w:val="00641D74"/>
    <w:rsid w:val="0067367F"/>
    <w:rsid w:val="00684C20"/>
    <w:rsid w:val="0069148A"/>
    <w:rsid w:val="006B4722"/>
    <w:rsid w:val="006E15ED"/>
    <w:rsid w:val="006E2038"/>
    <w:rsid w:val="00713330"/>
    <w:rsid w:val="00721431"/>
    <w:rsid w:val="00723F2B"/>
    <w:rsid w:val="00787F24"/>
    <w:rsid w:val="007A779A"/>
    <w:rsid w:val="007B430D"/>
    <w:rsid w:val="007D39E0"/>
    <w:rsid w:val="0080471D"/>
    <w:rsid w:val="008053C1"/>
    <w:rsid w:val="0081383A"/>
    <w:rsid w:val="008202E2"/>
    <w:rsid w:val="008337E7"/>
    <w:rsid w:val="00855825"/>
    <w:rsid w:val="008E7CDF"/>
    <w:rsid w:val="00906D1F"/>
    <w:rsid w:val="00924AAE"/>
    <w:rsid w:val="00936A61"/>
    <w:rsid w:val="00936E02"/>
    <w:rsid w:val="00976B46"/>
    <w:rsid w:val="009E3CF6"/>
    <w:rsid w:val="009F56F4"/>
    <w:rsid w:val="009F6C68"/>
    <w:rsid w:val="00A44611"/>
    <w:rsid w:val="00A54665"/>
    <w:rsid w:val="00A65795"/>
    <w:rsid w:val="00AD3332"/>
    <w:rsid w:val="00B04F5D"/>
    <w:rsid w:val="00B21F7E"/>
    <w:rsid w:val="00B51151"/>
    <w:rsid w:val="00BC1C3B"/>
    <w:rsid w:val="00BD060F"/>
    <w:rsid w:val="00BD442E"/>
    <w:rsid w:val="00C32640"/>
    <w:rsid w:val="00C3701E"/>
    <w:rsid w:val="00C570AE"/>
    <w:rsid w:val="00CA6709"/>
    <w:rsid w:val="00CC3238"/>
    <w:rsid w:val="00CF2B49"/>
    <w:rsid w:val="00D01300"/>
    <w:rsid w:val="00D2547B"/>
    <w:rsid w:val="00D41928"/>
    <w:rsid w:val="00DD7217"/>
    <w:rsid w:val="00E27DE6"/>
    <w:rsid w:val="00E301D8"/>
    <w:rsid w:val="00EB15DD"/>
    <w:rsid w:val="00F712F5"/>
    <w:rsid w:val="00F83EC5"/>
    <w:rsid w:val="00FE73F5"/>
    <w:rsid w:val="17FCE119"/>
    <w:rsid w:val="1BBEB8ED"/>
    <w:rsid w:val="1C4731AC"/>
    <w:rsid w:val="1E882FB3"/>
    <w:rsid w:val="20D65F46"/>
    <w:rsid w:val="2BDFD14E"/>
    <w:rsid w:val="2FE7D6E3"/>
    <w:rsid w:val="2FFEECC2"/>
    <w:rsid w:val="329BA017"/>
    <w:rsid w:val="37D428A8"/>
    <w:rsid w:val="38C7380E"/>
    <w:rsid w:val="3A6A45BE"/>
    <w:rsid w:val="3B832A86"/>
    <w:rsid w:val="3DFFCF03"/>
    <w:rsid w:val="3F752DF3"/>
    <w:rsid w:val="3F8B1183"/>
    <w:rsid w:val="3FD71DC3"/>
    <w:rsid w:val="435C9386"/>
    <w:rsid w:val="46566FE0"/>
    <w:rsid w:val="474765A9"/>
    <w:rsid w:val="475F171D"/>
    <w:rsid w:val="4E629F2A"/>
    <w:rsid w:val="525A3179"/>
    <w:rsid w:val="529F3D5D"/>
    <w:rsid w:val="55FF9FF7"/>
    <w:rsid w:val="56D5279B"/>
    <w:rsid w:val="573473AE"/>
    <w:rsid w:val="59DB0D4F"/>
    <w:rsid w:val="5AFE49B7"/>
    <w:rsid w:val="5B2D8AFA"/>
    <w:rsid w:val="5EAD9F91"/>
    <w:rsid w:val="5EF77B1C"/>
    <w:rsid w:val="5FBF22F0"/>
    <w:rsid w:val="5FF9E1A6"/>
    <w:rsid w:val="5FFE8451"/>
    <w:rsid w:val="637B5E66"/>
    <w:rsid w:val="67EEFE01"/>
    <w:rsid w:val="69FF22F0"/>
    <w:rsid w:val="69FFD00A"/>
    <w:rsid w:val="6BF93C2E"/>
    <w:rsid w:val="6C88088F"/>
    <w:rsid w:val="6D4960CC"/>
    <w:rsid w:val="6D7B4972"/>
    <w:rsid w:val="6DBF50A9"/>
    <w:rsid w:val="6F436DAA"/>
    <w:rsid w:val="72C792D6"/>
    <w:rsid w:val="72FB8D21"/>
    <w:rsid w:val="75D7D3C9"/>
    <w:rsid w:val="75DEC99C"/>
    <w:rsid w:val="78581812"/>
    <w:rsid w:val="79EFA5B0"/>
    <w:rsid w:val="7AF36FCD"/>
    <w:rsid w:val="7BB798B7"/>
    <w:rsid w:val="7BFE12F3"/>
    <w:rsid w:val="7D4B49D2"/>
    <w:rsid w:val="7D7E3C1B"/>
    <w:rsid w:val="7F3FA0FF"/>
    <w:rsid w:val="7F672144"/>
    <w:rsid w:val="7FBF978A"/>
    <w:rsid w:val="7FDA6695"/>
    <w:rsid w:val="7FF82505"/>
    <w:rsid w:val="7FFE27E7"/>
    <w:rsid w:val="7FFFA1F4"/>
    <w:rsid w:val="8FEBC03D"/>
    <w:rsid w:val="9D7BFDD6"/>
    <w:rsid w:val="9FADCB23"/>
    <w:rsid w:val="AE3BDDB3"/>
    <w:rsid w:val="AEB6D266"/>
    <w:rsid w:val="B79F2754"/>
    <w:rsid w:val="BABEDACE"/>
    <w:rsid w:val="BBCFFC8C"/>
    <w:rsid w:val="BCE7DA36"/>
    <w:rsid w:val="BE69A392"/>
    <w:rsid w:val="BEBEF687"/>
    <w:rsid w:val="BFE6522E"/>
    <w:rsid w:val="C7FEEDC3"/>
    <w:rsid w:val="D1DF1104"/>
    <w:rsid w:val="D39A6CA1"/>
    <w:rsid w:val="D5DECD9F"/>
    <w:rsid w:val="D77BFEFA"/>
    <w:rsid w:val="D7FFC7EB"/>
    <w:rsid w:val="D7FFFEDE"/>
    <w:rsid w:val="DA5BDD72"/>
    <w:rsid w:val="DDAE4C12"/>
    <w:rsid w:val="DFF785C7"/>
    <w:rsid w:val="E27DC2FF"/>
    <w:rsid w:val="ECFFF09D"/>
    <w:rsid w:val="EDFFD143"/>
    <w:rsid w:val="EFCFDD19"/>
    <w:rsid w:val="EFF858E9"/>
    <w:rsid w:val="F4D9CFD3"/>
    <w:rsid w:val="F6F1029A"/>
    <w:rsid w:val="F7F7F38C"/>
    <w:rsid w:val="FACB965E"/>
    <w:rsid w:val="FB52BA40"/>
    <w:rsid w:val="FBFF827C"/>
    <w:rsid w:val="FCF712D0"/>
    <w:rsid w:val="FCFBC942"/>
    <w:rsid w:val="FCFD255A"/>
    <w:rsid w:val="FDA657FD"/>
    <w:rsid w:val="FDDF3DC7"/>
    <w:rsid w:val="FDFF7960"/>
    <w:rsid w:val="FE1BF156"/>
    <w:rsid w:val="FE3F2A3A"/>
    <w:rsid w:val="FEAF8258"/>
    <w:rsid w:val="FF3BDCF0"/>
    <w:rsid w:val="FFA765C3"/>
    <w:rsid w:val="FFBB0A27"/>
    <w:rsid w:val="FFCA0A6E"/>
    <w:rsid w:val="FFED1C63"/>
    <w:rsid w:val="FFF6D69B"/>
    <w:rsid w:val="FFFE9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keepNext/>
      <w:keepLines/>
      <w:spacing w:line="588" w:lineRule="exact"/>
      <w:ind w:firstLine="200" w:firstLineChars="200"/>
      <w:outlineLvl w:val="0"/>
    </w:pPr>
    <w:rPr>
      <w:rFonts w:ascii="Times New Roman" w:hAnsi="Times New Roman" w:eastAsia="方正黑体_GBK" w:cstheme="minorBidi"/>
      <w:bCs/>
      <w:kern w:val="44"/>
      <w:sz w:val="30"/>
      <w:szCs w:val="44"/>
    </w:rPr>
  </w:style>
  <w:style w:type="paragraph" w:styleId="3">
    <w:name w:val="heading 2"/>
    <w:basedOn w:val="1"/>
    <w:next w:val="1"/>
    <w:link w:val="14"/>
    <w:semiHidden/>
    <w:unhideWhenUsed/>
    <w:qFormat/>
    <w:uiPriority w:val="9"/>
    <w:pPr>
      <w:keepNext/>
      <w:keepLines/>
      <w:spacing w:line="588" w:lineRule="exact"/>
      <w:ind w:firstLine="200" w:firstLineChars="200"/>
      <w:outlineLvl w:val="1"/>
    </w:pPr>
    <w:rPr>
      <w:rFonts w:eastAsia="方正楷体_GBK" w:asciiTheme="majorHAnsi" w:hAnsiTheme="majorHAnsi" w:cstheme="majorBidi"/>
      <w:bCs/>
      <w:sz w:val="30"/>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spacing w:line="588" w:lineRule="exact"/>
      <w:ind w:firstLine="200" w:firstLineChars="200"/>
      <w:jc w:val="left"/>
    </w:pPr>
    <w:rPr>
      <w:rFonts w:ascii="Times New Roman" w:hAnsi="Times New Roman" w:eastAsia="方正仿宋_GBK" w:cstheme="minorBidi"/>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spacing w:line="588" w:lineRule="exact"/>
      <w:ind w:firstLine="200" w:firstLineChars="200"/>
      <w:jc w:val="center"/>
    </w:pPr>
    <w:rPr>
      <w:rFonts w:ascii="Times New Roman" w:hAnsi="Times New Roman" w:eastAsia="方正仿宋_GBK" w:cstheme="minorBidi"/>
      <w:sz w:val="18"/>
      <w:szCs w:val="18"/>
    </w:rPr>
  </w:style>
  <w:style w:type="paragraph" w:styleId="6">
    <w:name w:val="Subtitle"/>
    <w:basedOn w:val="1"/>
    <w:next w:val="1"/>
    <w:link w:val="15"/>
    <w:qFormat/>
    <w:uiPriority w:val="11"/>
    <w:pPr>
      <w:spacing w:line="588" w:lineRule="exact"/>
      <w:jc w:val="center"/>
      <w:outlineLvl w:val="1"/>
    </w:pPr>
    <w:rPr>
      <w:rFonts w:eastAsia="方正楷体_GBK" w:asciiTheme="majorHAnsi" w:hAnsiTheme="majorHAnsi" w:cstheme="majorBidi"/>
      <w:bCs/>
      <w:kern w:val="28"/>
      <w:sz w:val="30"/>
      <w:szCs w:val="32"/>
    </w:rPr>
  </w:style>
  <w:style w:type="paragraph" w:styleId="7">
    <w:name w:val="Title"/>
    <w:basedOn w:val="1"/>
    <w:next w:val="1"/>
    <w:link w:val="12"/>
    <w:qFormat/>
    <w:uiPriority w:val="10"/>
    <w:pPr>
      <w:spacing w:line="588" w:lineRule="exact"/>
      <w:jc w:val="center"/>
      <w:outlineLvl w:val="0"/>
    </w:pPr>
    <w:rPr>
      <w:rFonts w:eastAsia="方正小标宋_GBK" w:asciiTheme="majorHAnsi" w:hAnsiTheme="majorHAnsi" w:cstheme="majorBidi"/>
      <w:bCs/>
      <w:sz w:val="40"/>
      <w:szCs w:val="32"/>
    </w:r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标题 Char"/>
    <w:basedOn w:val="9"/>
    <w:link w:val="7"/>
    <w:qFormat/>
    <w:uiPriority w:val="10"/>
    <w:rPr>
      <w:rFonts w:eastAsia="方正小标宋_GBK" w:asciiTheme="majorHAnsi" w:hAnsiTheme="majorHAnsi" w:cstheme="majorBidi"/>
      <w:bCs/>
      <w:sz w:val="40"/>
      <w:szCs w:val="32"/>
    </w:rPr>
  </w:style>
  <w:style w:type="character" w:customStyle="1" w:styleId="13">
    <w:name w:val="标题 1 Char"/>
    <w:basedOn w:val="9"/>
    <w:link w:val="2"/>
    <w:qFormat/>
    <w:uiPriority w:val="9"/>
    <w:rPr>
      <w:rFonts w:eastAsia="方正黑体_GBK"/>
      <w:bCs/>
      <w:kern w:val="44"/>
      <w:sz w:val="30"/>
      <w:szCs w:val="44"/>
    </w:rPr>
  </w:style>
  <w:style w:type="character" w:customStyle="1" w:styleId="14">
    <w:name w:val="标题 2 Char"/>
    <w:basedOn w:val="9"/>
    <w:link w:val="3"/>
    <w:semiHidden/>
    <w:qFormat/>
    <w:uiPriority w:val="9"/>
    <w:rPr>
      <w:rFonts w:eastAsia="方正楷体_GBK" w:asciiTheme="majorHAnsi" w:hAnsiTheme="majorHAnsi" w:cstheme="majorBidi"/>
      <w:bCs/>
      <w:sz w:val="30"/>
      <w:szCs w:val="32"/>
    </w:rPr>
  </w:style>
  <w:style w:type="character" w:customStyle="1" w:styleId="15">
    <w:name w:val="副标题 Char"/>
    <w:basedOn w:val="9"/>
    <w:link w:val="6"/>
    <w:qFormat/>
    <w:uiPriority w:val="11"/>
    <w:rPr>
      <w:rFonts w:eastAsia="方正楷体_GBK" w:asciiTheme="majorHAnsi" w:hAnsiTheme="majorHAnsi" w:cstheme="majorBidi"/>
      <w:bCs/>
      <w:kern w:val="28"/>
      <w:sz w:val="3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213</Words>
  <Characters>1217</Characters>
  <Lines>10</Lines>
  <Paragraphs>2</Paragraphs>
  <TotalTime>25</TotalTime>
  <ScaleCrop>false</ScaleCrop>
  <LinksUpToDate>false</LinksUpToDate>
  <CharactersWithSpaces>1428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2019-02-27T18:47:00Z</dcterms:created>
  <dc:creator>张国华</dc:creator>
  <cp:lastModifiedBy>朱文旭</cp:lastModifiedBy>
  <cp:lastPrinted>2019-12-03T09:03:44Z</cp:lastPrinted>
  <dcterms:modified xsi:type="dcterms:W3CDTF">2019-12-03T09:03:46Z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