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63E1" w14:textId="77777777" w:rsidR="007C6D80" w:rsidRDefault="007C6D80" w:rsidP="007C6D80">
      <w:pPr>
        <w:rPr>
          <w:rFonts w:ascii="黑体" w:eastAsia="黑体" w:hAnsi="黑体" w:cs="黑体"/>
          <w:sz w:val="32"/>
          <w:szCs w:val="32"/>
        </w:rPr>
      </w:pPr>
      <w:r>
        <w:rPr>
          <w:rFonts w:ascii="黑体" w:eastAsia="黑体" w:hAnsi="黑体" w:cs="黑体" w:hint="eastAsia"/>
          <w:sz w:val="32"/>
          <w:szCs w:val="32"/>
        </w:rPr>
        <w:t>附件7</w:t>
      </w:r>
    </w:p>
    <w:p w14:paraId="3D0F838F" w14:textId="77777777" w:rsidR="007C6D80" w:rsidRDefault="007C6D80" w:rsidP="007C6D80">
      <w:pPr>
        <w:jc w:val="center"/>
        <w:outlineLvl w:val="0"/>
        <w:rPr>
          <w:rFonts w:ascii="方正小标宋_GBK" w:eastAsia="方正小标宋_GBK" w:hAnsi="方正小标宋_GBK" w:cs="方正小标宋_GBK"/>
          <w:sz w:val="36"/>
          <w:szCs w:val="32"/>
        </w:rPr>
      </w:pPr>
    </w:p>
    <w:p w14:paraId="5D7FCB09" w14:textId="77777777" w:rsidR="00412374" w:rsidRDefault="007C6D80" w:rsidP="007C6D80">
      <w:pPr>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国家综合货运枢纽</w:t>
      </w:r>
      <w:proofErr w:type="gramStart"/>
      <w:r>
        <w:rPr>
          <w:rFonts w:ascii="方正小标宋_GBK" w:eastAsia="方正小标宋_GBK" w:hAnsi="方正小标宋_GBK" w:cs="方正小标宋_GBK" w:hint="eastAsia"/>
          <w:sz w:val="44"/>
          <w:szCs w:val="44"/>
        </w:rPr>
        <w:t>补链强链</w:t>
      </w:r>
      <w:proofErr w:type="gramEnd"/>
      <w:r>
        <w:rPr>
          <w:rFonts w:ascii="方正小标宋_GBK" w:eastAsia="方正小标宋_GBK" w:hAnsi="方正小标宋_GBK" w:cs="方正小标宋_GBK" w:hint="eastAsia"/>
          <w:sz w:val="44"/>
          <w:szCs w:val="44"/>
        </w:rPr>
        <w:t>工作</w:t>
      </w:r>
    </w:p>
    <w:p w14:paraId="1736D01B" w14:textId="61A3A1B7" w:rsidR="007C6D80" w:rsidRDefault="007C6D80" w:rsidP="007C6D80">
      <w:pPr>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绩效评价表填报说明</w:t>
      </w:r>
    </w:p>
    <w:p w14:paraId="2CDA5667" w14:textId="77777777" w:rsidR="007C6D80" w:rsidRDefault="007C6D80" w:rsidP="007C6D80">
      <w:pPr>
        <w:overflowPunct w:val="0"/>
        <w:ind w:firstLineChars="200" w:firstLine="600"/>
        <w:rPr>
          <w:rFonts w:ascii="Times New Roman" w:eastAsia="仿宋_GB2312" w:hAnsi="Times New Roman"/>
          <w:sz w:val="30"/>
          <w:szCs w:val="30"/>
        </w:rPr>
      </w:pPr>
    </w:p>
    <w:p w14:paraId="4F3188E8"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一、组织保障</w:t>
      </w:r>
    </w:p>
    <w:p w14:paraId="3A5DFDCE"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1. </w:t>
      </w:r>
      <w:r>
        <w:rPr>
          <w:rFonts w:ascii="Times New Roman" w:eastAsia="楷体_GB2312" w:hAnsi="Times New Roman"/>
          <w:sz w:val="32"/>
          <w:szCs w:val="32"/>
        </w:rPr>
        <w:t>地方建立工作领导机制，定期调度和协调解决问题</w:t>
      </w:r>
    </w:p>
    <w:p w14:paraId="42DE934A"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：依托工作机制，有关部门协调解决的关于国家综合货运枢纽建设的相关事项。</w:t>
      </w:r>
    </w:p>
    <w:p w14:paraId="6FC55459"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：开会次数、会议层级、具体解决事项。</w:t>
      </w:r>
    </w:p>
    <w:p w14:paraId="0041CBB4"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2. </w:t>
      </w:r>
      <w:r>
        <w:rPr>
          <w:rFonts w:ascii="Times New Roman" w:eastAsia="楷体_GB2312" w:hAnsi="Times New Roman"/>
          <w:sz w:val="32"/>
          <w:szCs w:val="32"/>
        </w:rPr>
        <w:t>省、市有关部门出台相关支持政策措施</w:t>
      </w:r>
    </w:p>
    <w:p w14:paraId="7730651F"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：省市有关部门在财政、税费、金融、土地、便利通行、审批、就业、盘活存量资源等方面制定出台相关支持政策并有效实施。</w:t>
      </w:r>
    </w:p>
    <w:p w14:paraId="16A440F7"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：出台政策数量、具体覆盖的方面、及时报送专报信息数量及在全国推广的经验做法。</w:t>
      </w:r>
    </w:p>
    <w:p w14:paraId="365CF868"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二、资金管理</w:t>
      </w:r>
    </w:p>
    <w:p w14:paraId="27B27BDC"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3.</w:t>
      </w:r>
      <w:r>
        <w:rPr>
          <w:rFonts w:hint="eastAsia"/>
          <w:sz w:val="32"/>
          <w:szCs w:val="32"/>
        </w:rPr>
        <w:t xml:space="preserve"> </w:t>
      </w:r>
      <w:r>
        <w:rPr>
          <w:rFonts w:ascii="Times New Roman" w:eastAsia="楷体_GB2312" w:hAnsi="Times New Roman" w:hint="eastAsia"/>
          <w:sz w:val="32"/>
          <w:szCs w:val="32"/>
        </w:rPr>
        <w:t>★</w:t>
      </w:r>
      <w:r>
        <w:rPr>
          <w:rFonts w:ascii="Times New Roman" w:eastAsia="楷体_GB2312" w:hAnsi="Times New Roman"/>
          <w:sz w:val="32"/>
          <w:szCs w:val="32"/>
        </w:rPr>
        <w:t>省、市级财政统筹资金支持的累计金额</w:t>
      </w:r>
    </w:p>
    <w:p w14:paraId="054664BE"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：实施期内，省级、市级财政统筹资金支持综合货运枢纽建设的总额（亿元）。</w:t>
      </w:r>
    </w:p>
    <w:p w14:paraId="78937AE0"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：资金支持累计总额、达标率。</w:t>
      </w:r>
    </w:p>
    <w:p w14:paraId="4CDDE9DF"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4. </w:t>
      </w:r>
      <w:r>
        <w:rPr>
          <w:rFonts w:ascii="Times New Roman" w:eastAsia="楷体_GB2312" w:hAnsi="Times New Roman"/>
          <w:sz w:val="32"/>
          <w:szCs w:val="32"/>
        </w:rPr>
        <w:t>项目资本金比例</w:t>
      </w:r>
    </w:p>
    <w:p w14:paraId="7861EBA5"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lastRenderedPageBreak/>
        <w:t>指标说明：</w:t>
      </w:r>
      <w:r>
        <w:rPr>
          <w:rFonts w:ascii="Times New Roman" w:eastAsia="仿宋_GB2312" w:hAnsi="Times New Roman" w:hint="eastAsia"/>
          <w:sz w:val="32"/>
          <w:szCs w:val="32"/>
        </w:rPr>
        <w:t>纳入实施方案的基础设施建设项目资本金与项目总投资的比例。</w:t>
      </w:r>
    </w:p>
    <w:p w14:paraId="5F9A1EC3" w14:textId="77777777" w:rsidR="007C6D80" w:rsidRDefault="007C6D80" w:rsidP="007C6D80">
      <w:pPr>
        <w:overflowPunct w:val="0"/>
        <w:spacing w:line="580" w:lineRule="exact"/>
        <w:ind w:firstLineChars="200" w:firstLine="640"/>
        <w:rPr>
          <w:rFonts w:ascii="黑体" w:eastAsia="黑体" w:hAnsi="黑体"/>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每一个项目的资本金比例。</w:t>
      </w:r>
    </w:p>
    <w:p w14:paraId="369B0891"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5.</w:t>
      </w:r>
      <w:r>
        <w:rPr>
          <w:rFonts w:ascii="Times New Roman" w:eastAsia="楷体_GB2312" w:hAnsi="Times New Roman" w:hint="eastAsia"/>
          <w:sz w:val="32"/>
          <w:szCs w:val="32"/>
        </w:rPr>
        <w:t xml:space="preserve"> </w:t>
      </w:r>
      <w:r>
        <w:rPr>
          <w:rFonts w:ascii="Times New Roman" w:eastAsia="楷体_GB2312" w:hAnsi="Times New Roman" w:hint="eastAsia"/>
          <w:sz w:val="32"/>
          <w:szCs w:val="32"/>
        </w:rPr>
        <w:t>★</w:t>
      </w:r>
      <w:r>
        <w:rPr>
          <w:rFonts w:ascii="Times New Roman" w:eastAsia="楷体_GB2312" w:hAnsi="Times New Roman"/>
          <w:sz w:val="32"/>
          <w:szCs w:val="32"/>
        </w:rPr>
        <w:t>吸引带动社会投资累计总金额</w:t>
      </w:r>
    </w:p>
    <w:p w14:paraId="74A46176"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：城市实施方案的“基础设施及装备硬联通”</w:t>
      </w:r>
      <w:r>
        <w:rPr>
          <w:rFonts w:hint="eastAsia"/>
          <w:sz w:val="32"/>
          <w:szCs w:val="32"/>
        </w:rPr>
        <w:t xml:space="preserve"> </w:t>
      </w:r>
      <w:r>
        <w:rPr>
          <w:rFonts w:ascii="Times New Roman" w:eastAsia="仿宋_GB2312" w:hAnsi="Times New Roman" w:hint="eastAsia"/>
          <w:sz w:val="32"/>
          <w:szCs w:val="32"/>
        </w:rPr>
        <w:t>“规则标准及服务软联通”吸引社会投资的累计总金额（亿元）。</w:t>
      </w:r>
    </w:p>
    <w:p w14:paraId="613BF44F"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：吸引带动社会投资累计总金额，达标率。</w:t>
      </w:r>
    </w:p>
    <w:p w14:paraId="5418720F"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6. </w:t>
      </w:r>
      <w:r>
        <w:rPr>
          <w:rFonts w:ascii="Times New Roman" w:eastAsia="楷体_GB2312" w:hAnsi="Times New Roman" w:hint="eastAsia"/>
          <w:sz w:val="32"/>
          <w:szCs w:val="32"/>
        </w:rPr>
        <w:t>项目资金到位情况</w:t>
      </w:r>
    </w:p>
    <w:p w14:paraId="48DC90DA"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：财政资金按时下达到项目单位的情况，以及</w:t>
      </w:r>
      <w:r>
        <w:rPr>
          <w:rFonts w:ascii="Times New Roman" w:eastAsia="仿宋_GB2312" w:hAnsi="Times New Roman"/>
          <w:sz w:val="32"/>
          <w:szCs w:val="32"/>
        </w:rPr>
        <w:t>社会资本按时到位</w:t>
      </w:r>
      <w:r>
        <w:rPr>
          <w:rFonts w:ascii="Times New Roman" w:eastAsia="仿宋_GB2312" w:hAnsi="Times New Roman" w:hint="eastAsia"/>
          <w:sz w:val="32"/>
          <w:szCs w:val="32"/>
        </w:rPr>
        <w:t>的情况。</w:t>
      </w:r>
    </w:p>
    <w:p w14:paraId="50ADC825"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：是</w:t>
      </w:r>
      <w:r>
        <w:rPr>
          <w:rFonts w:ascii="Times New Roman" w:eastAsia="仿宋_GB2312" w:hAnsi="Times New Roman" w:hint="eastAsia"/>
          <w:sz w:val="32"/>
          <w:szCs w:val="32"/>
        </w:rPr>
        <w:t>/</w:t>
      </w:r>
      <w:r>
        <w:rPr>
          <w:rFonts w:ascii="Times New Roman" w:eastAsia="仿宋_GB2312" w:hAnsi="Times New Roman" w:hint="eastAsia"/>
          <w:sz w:val="32"/>
          <w:szCs w:val="32"/>
        </w:rPr>
        <w:t>否按时下达和到位、财政资金下达金额、社会资本到位金额。</w:t>
      </w:r>
    </w:p>
    <w:p w14:paraId="35E42230"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7. </w:t>
      </w:r>
      <w:r>
        <w:rPr>
          <w:rFonts w:ascii="Times New Roman" w:eastAsia="楷体_GB2312" w:hAnsi="Times New Roman"/>
          <w:sz w:val="32"/>
          <w:szCs w:val="32"/>
        </w:rPr>
        <w:t>资金使用合</w:t>
      </w:r>
      <w:proofErr w:type="gramStart"/>
      <w:r>
        <w:rPr>
          <w:rFonts w:ascii="Times New Roman" w:eastAsia="楷体_GB2312" w:hAnsi="Times New Roman"/>
          <w:sz w:val="32"/>
          <w:szCs w:val="32"/>
        </w:rPr>
        <w:t>规</w:t>
      </w:r>
      <w:proofErr w:type="gramEnd"/>
      <w:r>
        <w:rPr>
          <w:rFonts w:ascii="Times New Roman" w:eastAsia="楷体_GB2312" w:hAnsi="Times New Roman"/>
          <w:sz w:val="32"/>
          <w:szCs w:val="32"/>
        </w:rPr>
        <w:t>性</w:t>
      </w:r>
    </w:p>
    <w:p w14:paraId="0C0050C0"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奖补资金</w:t>
      </w:r>
      <w:proofErr w:type="gramEnd"/>
      <w:r>
        <w:rPr>
          <w:rFonts w:ascii="Times New Roman" w:eastAsia="仿宋_GB2312" w:hAnsi="Times New Roman" w:hint="eastAsia"/>
          <w:sz w:val="32"/>
          <w:szCs w:val="32"/>
        </w:rPr>
        <w:t>用于既定事项，与实施方案中基本一致，未发现资金违规使用问题。</w:t>
      </w:r>
    </w:p>
    <w:p w14:paraId="032689E7"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：是</w:t>
      </w:r>
      <w:r>
        <w:rPr>
          <w:rFonts w:ascii="Times New Roman" w:eastAsia="仿宋_GB2312" w:hAnsi="Times New Roman" w:hint="eastAsia"/>
          <w:sz w:val="32"/>
          <w:szCs w:val="32"/>
        </w:rPr>
        <w:t>/</w:t>
      </w:r>
      <w:r>
        <w:rPr>
          <w:rFonts w:ascii="Times New Roman" w:eastAsia="仿宋_GB2312" w:hAnsi="Times New Roman" w:hint="eastAsia"/>
          <w:sz w:val="32"/>
          <w:szCs w:val="32"/>
        </w:rPr>
        <w:t>否。</w:t>
      </w:r>
    </w:p>
    <w:p w14:paraId="78852693"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三、运输能力</w:t>
      </w:r>
    </w:p>
    <w:p w14:paraId="2725D66F"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8.</w:t>
      </w:r>
      <w:r>
        <w:rPr>
          <w:rFonts w:ascii="Times New Roman" w:eastAsia="楷体_GB2312" w:hAnsi="Times New Roman" w:hint="eastAsia"/>
          <w:sz w:val="32"/>
          <w:szCs w:val="32"/>
        </w:rPr>
        <w:t xml:space="preserve"> </w:t>
      </w:r>
      <w:r>
        <w:rPr>
          <w:rFonts w:ascii="Times New Roman" w:eastAsia="楷体_GB2312" w:hAnsi="Times New Roman" w:hint="eastAsia"/>
          <w:sz w:val="32"/>
          <w:szCs w:val="32"/>
        </w:rPr>
        <w:t>★</w:t>
      </w:r>
      <w:r>
        <w:rPr>
          <w:rFonts w:ascii="Times New Roman" w:eastAsia="楷体_GB2312" w:hAnsi="Times New Roman"/>
          <w:sz w:val="32"/>
          <w:szCs w:val="32"/>
        </w:rPr>
        <w:t>总体投资进度</w:t>
      </w:r>
    </w:p>
    <w:p w14:paraId="71A022A2"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：纳入实施方案的综合货运枢纽、集疏运线路、设备更新升级及信息化建设等项目的完成投资额与实施期投资目标的比例。</w:t>
      </w:r>
    </w:p>
    <w:p w14:paraId="275D978A"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：完成投资额与实施期投资目标的比例。</w:t>
      </w:r>
    </w:p>
    <w:p w14:paraId="4C8B582F"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9.</w:t>
      </w:r>
      <w:r>
        <w:rPr>
          <w:rFonts w:ascii="Times New Roman" w:eastAsia="楷体_GB2312" w:hAnsi="Times New Roman" w:hint="eastAsia"/>
          <w:sz w:val="32"/>
          <w:szCs w:val="32"/>
        </w:rPr>
        <w:t xml:space="preserve"> </w:t>
      </w:r>
      <w:r>
        <w:rPr>
          <w:rFonts w:ascii="Times New Roman" w:eastAsia="楷体_GB2312" w:hAnsi="Times New Roman" w:hint="eastAsia"/>
          <w:sz w:val="32"/>
          <w:szCs w:val="32"/>
        </w:rPr>
        <w:t>★</w:t>
      </w:r>
      <w:r>
        <w:rPr>
          <w:rFonts w:ascii="Times New Roman" w:eastAsia="楷体_GB2312" w:hAnsi="Times New Roman"/>
          <w:sz w:val="32"/>
          <w:szCs w:val="32"/>
        </w:rPr>
        <w:t>集疏运线路新增或改扩建累计里程</w:t>
      </w:r>
    </w:p>
    <w:p w14:paraId="18C2CEC1" w14:textId="77777777" w:rsidR="007C6D80" w:rsidRDefault="007C6D80" w:rsidP="007C6D80">
      <w:pPr>
        <w:pStyle w:val="a5"/>
        <w:spacing w:before="0" w:beforeAutospacing="0" w:after="0" w:afterAutospacing="0" w:line="580" w:lineRule="exact"/>
        <w:ind w:firstLineChars="200" w:firstLine="640"/>
        <w:rPr>
          <w:rFonts w:ascii="Times New Roman" w:eastAsia="仿宋_GB2312" w:hAnsi="Times New Roman"/>
          <w:kern w:val="2"/>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：纳入实施方案的集疏运铁路、公路实际完成的</w:t>
      </w:r>
      <w:r>
        <w:rPr>
          <w:rFonts w:ascii="Times New Roman" w:eastAsia="仿宋_GB2312" w:hAnsi="Times New Roman"/>
          <w:kern w:val="2"/>
          <w:sz w:val="32"/>
          <w:szCs w:val="32"/>
        </w:rPr>
        <w:t>新增或改扩建</w:t>
      </w:r>
      <w:r>
        <w:rPr>
          <w:rFonts w:ascii="Times New Roman" w:eastAsia="仿宋_GB2312" w:hAnsi="Times New Roman" w:hint="eastAsia"/>
          <w:kern w:val="2"/>
          <w:sz w:val="32"/>
          <w:szCs w:val="32"/>
        </w:rPr>
        <w:t>里程</w:t>
      </w:r>
      <w:r>
        <w:rPr>
          <w:rFonts w:ascii="Times New Roman" w:eastAsia="仿宋_GB2312" w:hAnsi="Times New Roman"/>
          <w:kern w:val="2"/>
          <w:sz w:val="32"/>
          <w:szCs w:val="32"/>
        </w:rPr>
        <w:t>（公里）</w:t>
      </w:r>
      <w:r>
        <w:rPr>
          <w:rFonts w:ascii="Times New Roman" w:eastAsia="仿宋_GB2312" w:hAnsi="Times New Roman" w:hint="eastAsia"/>
          <w:kern w:val="2"/>
          <w:sz w:val="32"/>
          <w:szCs w:val="32"/>
        </w:rPr>
        <w:t>。</w:t>
      </w:r>
    </w:p>
    <w:p w14:paraId="04828720" w14:textId="77777777" w:rsidR="007C6D80" w:rsidRDefault="007C6D80" w:rsidP="007C6D80">
      <w:pPr>
        <w:pStyle w:val="a5"/>
        <w:spacing w:before="0" w:beforeAutospacing="0" w:after="0" w:afterAutospacing="0"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：集疏运铁路完成里程及达标率，集疏运公路完成里程及达标率。</w:t>
      </w:r>
    </w:p>
    <w:p w14:paraId="1E869544"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10.</w:t>
      </w:r>
      <w:r>
        <w:rPr>
          <w:rFonts w:ascii="Times New Roman" w:eastAsia="楷体_GB2312" w:hAnsi="Times New Roman" w:hint="eastAsia"/>
          <w:sz w:val="32"/>
          <w:szCs w:val="32"/>
        </w:rPr>
        <w:t xml:space="preserve"> </w:t>
      </w:r>
      <w:r>
        <w:rPr>
          <w:rFonts w:ascii="Times New Roman" w:eastAsia="楷体_GB2312" w:hAnsi="Times New Roman" w:hint="eastAsia"/>
          <w:sz w:val="32"/>
          <w:szCs w:val="32"/>
        </w:rPr>
        <w:t>★</w:t>
      </w:r>
      <w:r>
        <w:rPr>
          <w:rFonts w:ascii="Times New Roman" w:eastAsia="楷体_GB2312" w:hAnsi="Times New Roman"/>
          <w:sz w:val="32"/>
          <w:szCs w:val="32"/>
        </w:rPr>
        <w:t>综合货运枢纽项目新增或改造累计面积</w:t>
      </w:r>
    </w:p>
    <w:p w14:paraId="2C1925D9" w14:textId="77777777" w:rsidR="007C6D80" w:rsidRDefault="007C6D80" w:rsidP="007C6D80">
      <w:pPr>
        <w:pStyle w:val="a5"/>
        <w:spacing w:before="0" w:beforeAutospacing="0" w:after="0" w:afterAutospacing="0" w:line="580" w:lineRule="exact"/>
        <w:ind w:firstLineChars="200" w:firstLine="640"/>
        <w:rPr>
          <w:rFonts w:ascii="Times New Roman" w:eastAsia="仿宋_GB2312" w:hAnsi="Times New Roman"/>
          <w:kern w:val="2"/>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：纳入实施方案的综合货运枢纽项目实际完成的</w:t>
      </w:r>
      <w:r>
        <w:rPr>
          <w:rFonts w:ascii="Times New Roman" w:eastAsia="仿宋_GB2312" w:hAnsi="Times New Roman"/>
          <w:kern w:val="2"/>
          <w:sz w:val="32"/>
          <w:szCs w:val="32"/>
        </w:rPr>
        <w:t>新增或改扩建</w:t>
      </w:r>
      <w:r>
        <w:rPr>
          <w:rFonts w:ascii="Times New Roman" w:eastAsia="仿宋_GB2312" w:hAnsi="Times New Roman" w:hint="eastAsia"/>
          <w:kern w:val="2"/>
          <w:sz w:val="32"/>
          <w:szCs w:val="32"/>
        </w:rPr>
        <w:t>面积</w:t>
      </w:r>
      <w:r>
        <w:rPr>
          <w:rFonts w:ascii="Times New Roman" w:eastAsia="仿宋_GB2312" w:hAnsi="Times New Roman"/>
          <w:kern w:val="2"/>
          <w:sz w:val="32"/>
          <w:szCs w:val="32"/>
        </w:rPr>
        <w:t>（平方米）</w:t>
      </w:r>
      <w:r>
        <w:rPr>
          <w:rFonts w:ascii="Times New Roman" w:eastAsia="仿宋_GB2312" w:hAnsi="Times New Roman" w:hint="eastAsia"/>
          <w:kern w:val="2"/>
          <w:sz w:val="32"/>
          <w:szCs w:val="32"/>
        </w:rPr>
        <w:t>。</w:t>
      </w:r>
    </w:p>
    <w:p w14:paraId="5BCDCEFF" w14:textId="77777777" w:rsidR="007C6D80" w:rsidRDefault="007C6D80" w:rsidP="007C6D80">
      <w:pPr>
        <w:pStyle w:val="a5"/>
        <w:spacing w:before="0" w:beforeAutospacing="0" w:after="0" w:afterAutospacing="0"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：完成面积，达标率。</w:t>
      </w:r>
    </w:p>
    <w:p w14:paraId="018AEC53"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11. </w:t>
      </w:r>
      <w:r>
        <w:rPr>
          <w:rFonts w:ascii="Times New Roman" w:eastAsia="楷体_GB2312" w:hAnsi="Times New Roman"/>
          <w:sz w:val="32"/>
          <w:szCs w:val="32"/>
        </w:rPr>
        <w:t>设备更新升级累计数量</w:t>
      </w:r>
    </w:p>
    <w:p w14:paraId="4998DDE8"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：纳入实施方案的设备更新升级数量</w:t>
      </w:r>
      <w:r>
        <w:rPr>
          <w:rFonts w:ascii="Times New Roman" w:eastAsia="仿宋_GB2312" w:hAnsi="Times New Roman"/>
          <w:sz w:val="32"/>
          <w:szCs w:val="32"/>
        </w:rPr>
        <w:t>（台）</w:t>
      </w:r>
      <w:r>
        <w:rPr>
          <w:rFonts w:ascii="Times New Roman" w:eastAsia="仿宋_GB2312" w:hAnsi="Times New Roman" w:hint="eastAsia"/>
          <w:sz w:val="32"/>
          <w:szCs w:val="32"/>
        </w:rPr>
        <w:t>。</w:t>
      </w:r>
    </w:p>
    <w:p w14:paraId="0885D824"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：更新升级的设备数量</w:t>
      </w:r>
    </w:p>
    <w:p w14:paraId="11C18744"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四、运输服务</w:t>
      </w:r>
    </w:p>
    <w:p w14:paraId="486EF94B"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12. </w:t>
      </w:r>
      <w:r>
        <w:rPr>
          <w:rFonts w:ascii="Times New Roman" w:eastAsia="楷体_GB2312" w:hAnsi="Times New Roman"/>
          <w:sz w:val="32"/>
          <w:szCs w:val="32"/>
        </w:rPr>
        <w:t>年货物吞吐量增长率</w:t>
      </w:r>
    </w:p>
    <w:p w14:paraId="645E97E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：实施方案中的各类型枢纽项目货物吞吐量年均增长率。</w:t>
      </w:r>
    </w:p>
    <w:p w14:paraId="1BF7253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：货物吞吐量年均增长率，达标率</w:t>
      </w:r>
    </w:p>
    <w:p w14:paraId="735C22DF"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13.</w:t>
      </w:r>
      <w:bookmarkStart w:id="0" w:name="_Hlk107781068"/>
      <w:r>
        <w:rPr>
          <w:rFonts w:ascii="Times New Roman" w:eastAsia="楷体_GB2312" w:hAnsi="Times New Roman"/>
          <w:sz w:val="32"/>
          <w:szCs w:val="32"/>
        </w:rPr>
        <w:t xml:space="preserve"> </w:t>
      </w:r>
      <w:r>
        <w:rPr>
          <w:rFonts w:ascii="Times New Roman" w:eastAsia="楷体_GB2312" w:hAnsi="Times New Roman"/>
          <w:sz w:val="32"/>
          <w:szCs w:val="32"/>
        </w:rPr>
        <w:t>多式联运量</w:t>
      </w:r>
      <w:bookmarkEnd w:id="0"/>
      <w:r>
        <w:rPr>
          <w:rFonts w:ascii="Times New Roman" w:eastAsia="楷体_GB2312" w:hAnsi="Times New Roman"/>
          <w:sz w:val="32"/>
          <w:szCs w:val="32"/>
        </w:rPr>
        <w:t>年均增长率</w:t>
      </w:r>
    </w:p>
    <w:p w14:paraId="30B2A811"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：城市铁水联运、陆空联运（仅含卡车航班</w:t>
      </w:r>
      <w:proofErr w:type="gramStart"/>
      <w:r>
        <w:rPr>
          <w:rFonts w:ascii="Times New Roman" w:eastAsia="仿宋_GB2312" w:hAnsi="Times New Roman" w:hint="eastAsia"/>
          <w:sz w:val="32"/>
          <w:szCs w:val="32"/>
        </w:rPr>
        <w:t>和空铁联运</w:t>
      </w:r>
      <w:proofErr w:type="gramEnd"/>
      <w:r>
        <w:rPr>
          <w:rFonts w:ascii="Times New Roman" w:eastAsia="仿宋_GB2312" w:hAnsi="Times New Roman" w:hint="eastAsia"/>
          <w:sz w:val="32"/>
          <w:szCs w:val="32"/>
        </w:rPr>
        <w:t>）、集装箱公铁联运和港口绿色集疏港（铁路、水路、封闭式皮带廊道、清洁能源车辆）运量之和的年均增长率（</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p>
    <w:p w14:paraId="50E6731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：多式联运量年均增长率，达标率</w:t>
      </w:r>
    </w:p>
    <w:p w14:paraId="33DAD855"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1</w:t>
      </w:r>
      <w:r>
        <w:rPr>
          <w:rFonts w:ascii="Times New Roman" w:eastAsia="楷体_GB2312" w:hAnsi="Times New Roman"/>
          <w:sz w:val="32"/>
          <w:szCs w:val="32"/>
        </w:rPr>
        <w:t xml:space="preserve">4. </w:t>
      </w:r>
      <w:r>
        <w:rPr>
          <w:rFonts w:ascii="宋体" w:eastAsia="仿宋_GB2312" w:hAnsi="宋体" w:hint="eastAsia"/>
          <w:sz w:val="32"/>
          <w:szCs w:val="32"/>
        </w:rPr>
        <w:t>★</w:t>
      </w:r>
      <w:r>
        <w:rPr>
          <w:rFonts w:ascii="Times New Roman" w:eastAsia="楷体_GB2312" w:hAnsi="Times New Roman" w:hint="eastAsia"/>
          <w:sz w:val="32"/>
          <w:szCs w:val="32"/>
        </w:rPr>
        <w:t>国际物流供应</w:t>
      </w:r>
      <w:proofErr w:type="gramStart"/>
      <w:r>
        <w:rPr>
          <w:rFonts w:ascii="Times New Roman" w:eastAsia="楷体_GB2312" w:hAnsi="Times New Roman" w:hint="eastAsia"/>
          <w:sz w:val="32"/>
          <w:szCs w:val="32"/>
        </w:rPr>
        <w:t>链服务</w:t>
      </w:r>
      <w:proofErr w:type="gramEnd"/>
      <w:r>
        <w:rPr>
          <w:rFonts w:ascii="Times New Roman" w:eastAsia="楷体_GB2312" w:hAnsi="Times New Roman" w:hint="eastAsia"/>
          <w:sz w:val="32"/>
          <w:szCs w:val="32"/>
        </w:rPr>
        <w:t>情况</w:t>
      </w:r>
    </w:p>
    <w:p w14:paraId="6DAA0294"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港口外贸</w:t>
      </w:r>
      <w:proofErr w:type="gramEnd"/>
      <w:r>
        <w:rPr>
          <w:rFonts w:ascii="Times New Roman" w:eastAsia="仿宋_GB2312" w:hAnsi="Times New Roman" w:hint="eastAsia"/>
          <w:sz w:val="32"/>
          <w:szCs w:val="32"/>
        </w:rPr>
        <w:t>集装箱航线、国际航空货运航线、跨境道路运输线路、国际班列线路的新增线路及运量年均增长情况。</w:t>
      </w:r>
    </w:p>
    <w:p w14:paraId="2E31CF78"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：各类型新增线路的数量、各类型运输量及年均增长率、达标率。</w:t>
      </w:r>
    </w:p>
    <w:p w14:paraId="47F0F10E"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五</w:t>
      </w:r>
      <w:r>
        <w:rPr>
          <w:rFonts w:ascii="黑体" w:eastAsia="黑体" w:hAnsi="黑体"/>
          <w:kern w:val="2"/>
          <w:sz w:val="32"/>
          <w:szCs w:val="32"/>
        </w:rPr>
        <w:t>、</w:t>
      </w:r>
      <w:r>
        <w:rPr>
          <w:rFonts w:ascii="黑体" w:eastAsia="黑体" w:hAnsi="黑体" w:hint="eastAsia"/>
          <w:kern w:val="2"/>
          <w:sz w:val="32"/>
          <w:szCs w:val="32"/>
        </w:rPr>
        <w:t>运营机制</w:t>
      </w:r>
    </w:p>
    <w:p w14:paraId="015C845A"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 xml:space="preserve">5. </w:t>
      </w:r>
      <w:r>
        <w:rPr>
          <w:rFonts w:ascii="Times New Roman" w:eastAsia="楷体_GB2312" w:hAnsi="Times New Roman" w:hint="eastAsia"/>
          <w:sz w:val="32"/>
          <w:szCs w:val="32"/>
        </w:rPr>
        <w:t>城市间、企业间合作情况</w:t>
      </w:r>
    </w:p>
    <w:p w14:paraId="554E1123"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：相关城市政府间、企业间在共建共用综合货运枢纽、培育经营多式联运线路的合作情况。</w:t>
      </w:r>
    </w:p>
    <w:p w14:paraId="2EF45E82"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：合作数量、合作主体、具体合作事项。</w:t>
      </w:r>
    </w:p>
    <w:p w14:paraId="6FDA6AA7"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 xml:space="preserve">6. </w:t>
      </w:r>
      <w:r>
        <w:rPr>
          <w:rFonts w:ascii="Times New Roman" w:eastAsia="楷体_GB2312" w:hAnsi="Times New Roman" w:hint="eastAsia"/>
          <w:sz w:val="32"/>
          <w:szCs w:val="32"/>
        </w:rPr>
        <w:t>政务服务便利化程度</w:t>
      </w:r>
    </w:p>
    <w:p w14:paraId="293A892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：实现海关、税务、商务、海事、运管、公安、市场监管等货运物流政务服务一园（网）通办。</w:t>
      </w:r>
    </w:p>
    <w:p w14:paraId="45AD243E"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：集成服务数量、具体集成的政务服务功能。</w:t>
      </w:r>
    </w:p>
    <w:p w14:paraId="1E542E66"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 xml:space="preserve">7. </w:t>
      </w:r>
      <w:r>
        <w:rPr>
          <w:rFonts w:ascii="Times New Roman" w:eastAsia="楷体_GB2312" w:hAnsi="Times New Roman" w:hint="eastAsia"/>
          <w:sz w:val="32"/>
          <w:szCs w:val="32"/>
        </w:rPr>
        <w:t>一体化运营组织水平</w:t>
      </w:r>
    </w:p>
    <w:p w14:paraId="1E84CAA9"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：在货运物流信息互联互通、安检互认、通关一体化等方面，实现跨方式、跨区域一体化运营组织。</w:t>
      </w:r>
    </w:p>
    <w:p w14:paraId="675F736F"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：有效举措数量、具体覆盖的方面。</w:t>
      </w:r>
    </w:p>
    <w:p w14:paraId="53DC5273" w14:textId="77777777" w:rsidR="007C6D80" w:rsidRDefault="007C6D80" w:rsidP="007C6D80">
      <w:pPr>
        <w:pStyle w:val="a5"/>
        <w:spacing w:before="0" w:beforeAutospacing="0" w:after="0" w:afterAutospacing="0" w:line="580" w:lineRule="exact"/>
        <w:ind w:firstLineChars="200" w:firstLine="640"/>
        <w:rPr>
          <w:rFonts w:ascii="黑体" w:eastAsia="黑体" w:hAnsi="黑体"/>
          <w:kern w:val="2"/>
          <w:sz w:val="32"/>
          <w:szCs w:val="32"/>
        </w:rPr>
      </w:pPr>
      <w:r>
        <w:rPr>
          <w:rFonts w:ascii="黑体" w:eastAsia="黑体" w:hAnsi="黑体" w:hint="eastAsia"/>
          <w:kern w:val="2"/>
          <w:sz w:val="32"/>
          <w:szCs w:val="32"/>
        </w:rPr>
        <w:t>六</w:t>
      </w:r>
      <w:r>
        <w:rPr>
          <w:rFonts w:ascii="黑体" w:eastAsia="黑体" w:hAnsi="黑体"/>
          <w:kern w:val="2"/>
          <w:sz w:val="32"/>
          <w:szCs w:val="32"/>
        </w:rPr>
        <w:t>、</w:t>
      </w:r>
      <w:r>
        <w:rPr>
          <w:rFonts w:ascii="黑体" w:eastAsia="黑体" w:hAnsi="黑体" w:hint="eastAsia"/>
          <w:kern w:val="2"/>
          <w:sz w:val="32"/>
          <w:szCs w:val="32"/>
        </w:rPr>
        <w:t>综合效率</w:t>
      </w:r>
    </w:p>
    <w:p w14:paraId="4653D98C"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 xml:space="preserve">8. </w:t>
      </w:r>
      <w:r>
        <w:rPr>
          <w:rFonts w:ascii="Times New Roman" w:eastAsia="楷体_GB2312" w:hAnsi="Times New Roman" w:hint="eastAsia"/>
          <w:sz w:val="32"/>
          <w:szCs w:val="32"/>
        </w:rPr>
        <w:t>标准化运载单元使用率</w:t>
      </w:r>
    </w:p>
    <w:p w14:paraId="19CDAC8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：重点综合货运枢纽内标准化集装箱、周转箱、托盘的应用比例。</w:t>
      </w:r>
    </w:p>
    <w:p w14:paraId="026144CA"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lastRenderedPageBreak/>
        <w:t>填报内容</w:t>
      </w:r>
      <w:r>
        <w:rPr>
          <w:rFonts w:ascii="Times New Roman" w:eastAsia="仿宋_GB2312" w:hAnsi="Times New Roman" w:hint="eastAsia"/>
          <w:sz w:val="32"/>
          <w:szCs w:val="32"/>
        </w:rPr>
        <w:t>：使用率。</w:t>
      </w:r>
    </w:p>
    <w:p w14:paraId="6898A943"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 xml:space="preserve">9. </w:t>
      </w:r>
      <w:r>
        <w:rPr>
          <w:rFonts w:ascii="Times New Roman" w:eastAsia="楷体_GB2312" w:hAnsi="Times New Roman" w:hint="eastAsia"/>
          <w:sz w:val="32"/>
          <w:szCs w:val="32"/>
        </w:rPr>
        <w:t>多式联运换装</w:t>
      </w:r>
      <w:r>
        <w:rPr>
          <w:rFonts w:ascii="Times New Roman" w:eastAsia="楷体_GB2312" w:hAnsi="Times New Roman"/>
          <w:sz w:val="32"/>
          <w:szCs w:val="32"/>
        </w:rPr>
        <w:t>1</w:t>
      </w:r>
      <w:r>
        <w:rPr>
          <w:rFonts w:ascii="Times New Roman" w:eastAsia="楷体_GB2312" w:hAnsi="Times New Roman"/>
          <w:sz w:val="32"/>
          <w:szCs w:val="32"/>
        </w:rPr>
        <w:t>小时完成率</w:t>
      </w:r>
    </w:p>
    <w:p w14:paraId="43A24BCE"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：重点综合货运枢纽内，货物从一种运输方式换装到另一种运输方式的作业时间不超过</w:t>
      </w:r>
      <w:r>
        <w:rPr>
          <w:rFonts w:ascii="Times New Roman" w:eastAsia="仿宋_GB2312" w:hAnsi="Times New Roman" w:hint="eastAsia"/>
          <w:sz w:val="32"/>
          <w:szCs w:val="32"/>
        </w:rPr>
        <w:t>1</w:t>
      </w:r>
      <w:r>
        <w:rPr>
          <w:rFonts w:ascii="Times New Roman" w:eastAsia="仿宋_GB2312" w:hAnsi="Times New Roman" w:hint="eastAsia"/>
          <w:sz w:val="32"/>
          <w:szCs w:val="32"/>
        </w:rPr>
        <w:t>小时的比例。</w:t>
      </w:r>
    </w:p>
    <w:p w14:paraId="4442EDD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小时完成率。</w:t>
      </w:r>
    </w:p>
    <w:p w14:paraId="56ABEA76" w14:textId="77777777" w:rsidR="007C6D80" w:rsidRDefault="007C6D80" w:rsidP="007C6D80">
      <w:pPr>
        <w:overflowPunct w:val="0"/>
        <w:spacing w:line="58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2</w:t>
      </w:r>
      <w:r>
        <w:rPr>
          <w:rFonts w:ascii="Times New Roman" w:eastAsia="楷体_GB2312" w:hAnsi="Times New Roman"/>
          <w:sz w:val="32"/>
          <w:szCs w:val="32"/>
        </w:rPr>
        <w:t xml:space="preserve">0. </w:t>
      </w:r>
      <w:r>
        <w:rPr>
          <w:rFonts w:ascii="Times New Roman" w:eastAsia="楷体_GB2312" w:hAnsi="Times New Roman" w:hint="eastAsia"/>
          <w:sz w:val="32"/>
          <w:szCs w:val="32"/>
        </w:rPr>
        <w:t>应用多式联运运单或提单的集装箱多式联运量</w:t>
      </w:r>
    </w:p>
    <w:p w14:paraId="1C4E8D08"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：集装箱多式联运中，应用海运多式联运提单、国际铁路联运运单、中国国际货</w:t>
      </w:r>
      <w:proofErr w:type="gramStart"/>
      <w:r>
        <w:rPr>
          <w:rFonts w:ascii="Times New Roman" w:eastAsia="仿宋_GB2312" w:hAnsi="Times New Roman" w:hint="eastAsia"/>
          <w:sz w:val="32"/>
          <w:szCs w:val="32"/>
        </w:rPr>
        <w:t>代协会</w:t>
      </w:r>
      <w:proofErr w:type="gramEnd"/>
      <w:r>
        <w:rPr>
          <w:rFonts w:ascii="Times New Roman" w:eastAsia="仿宋_GB2312" w:hAnsi="Times New Roman" w:hint="eastAsia"/>
          <w:sz w:val="32"/>
          <w:szCs w:val="32"/>
        </w:rPr>
        <w:t>多式联运提单等标准化多式联运单证的集装箱量。</w:t>
      </w:r>
    </w:p>
    <w:p w14:paraId="0C852F6C"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：集装箱量。</w:t>
      </w:r>
    </w:p>
    <w:p w14:paraId="6C78E898" w14:textId="77777777" w:rsidR="007C6D80" w:rsidRDefault="007C6D80" w:rsidP="007C6D80">
      <w:pPr>
        <w:pStyle w:val="a5"/>
        <w:spacing w:before="0" w:beforeAutospacing="0" w:after="0" w:afterAutospacing="0" w:line="580" w:lineRule="exact"/>
        <w:ind w:firstLineChars="200" w:firstLine="640"/>
        <w:rPr>
          <w:rFonts w:ascii="Times New Roman" w:eastAsia="仿宋_GB2312" w:hAnsi="Times New Roman"/>
          <w:sz w:val="32"/>
          <w:szCs w:val="32"/>
        </w:rPr>
      </w:pPr>
      <w:r>
        <w:rPr>
          <w:rFonts w:ascii="黑体" w:eastAsia="黑体" w:hAnsi="黑体" w:hint="eastAsia"/>
          <w:kern w:val="2"/>
          <w:sz w:val="32"/>
          <w:szCs w:val="32"/>
        </w:rPr>
        <w:t>七</w:t>
      </w:r>
      <w:r>
        <w:rPr>
          <w:rFonts w:ascii="黑体" w:eastAsia="黑体" w:hAnsi="黑体"/>
          <w:kern w:val="2"/>
          <w:sz w:val="32"/>
          <w:szCs w:val="32"/>
        </w:rPr>
        <w:t>、</w:t>
      </w:r>
      <w:r>
        <w:rPr>
          <w:rFonts w:ascii="黑体" w:eastAsia="黑体" w:hAnsi="黑体" w:hint="eastAsia"/>
          <w:kern w:val="2"/>
          <w:sz w:val="32"/>
          <w:szCs w:val="32"/>
        </w:rPr>
        <w:t>综合效益</w:t>
      </w:r>
    </w:p>
    <w:p w14:paraId="75800F6B"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1. </w:t>
      </w:r>
      <w:r>
        <w:rPr>
          <w:rFonts w:ascii="宋体" w:eastAsia="仿宋_GB2312" w:hAnsi="宋体" w:hint="eastAsia"/>
          <w:sz w:val="32"/>
          <w:szCs w:val="32"/>
        </w:rPr>
        <w:t>★</w:t>
      </w:r>
      <w:r>
        <w:rPr>
          <w:rFonts w:ascii="Times New Roman" w:eastAsia="仿宋_GB2312" w:hAnsi="Times New Roman" w:hint="eastAsia"/>
          <w:sz w:val="32"/>
          <w:szCs w:val="32"/>
        </w:rPr>
        <w:t>枢纽经济贡献</w:t>
      </w:r>
    </w:p>
    <w:p w14:paraId="4CDC73FB"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：临港经济区、临空经济区、</w:t>
      </w:r>
      <w:proofErr w:type="gramStart"/>
      <w:r>
        <w:rPr>
          <w:rFonts w:ascii="Times New Roman" w:eastAsia="仿宋_GB2312" w:hAnsi="Times New Roman" w:hint="eastAsia"/>
          <w:sz w:val="32"/>
          <w:szCs w:val="32"/>
        </w:rPr>
        <w:t>临站经济区</w:t>
      </w:r>
      <w:proofErr w:type="gramEnd"/>
      <w:r>
        <w:rPr>
          <w:rFonts w:ascii="Times New Roman" w:eastAsia="仿宋_GB2312" w:hAnsi="Times New Roman" w:hint="eastAsia"/>
          <w:sz w:val="32"/>
          <w:szCs w:val="32"/>
        </w:rPr>
        <w:t>等枢纽经济载体对经济社会的贡献。枢纽经济载体应纳入城市有关规划，或成立管委会、项目指挥部统筹推进。</w:t>
      </w:r>
    </w:p>
    <w:p w14:paraId="405A449E"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：枢纽经济区数量以及区内企业数量、就业人数、产值规模、上缴利税。</w:t>
      </w:r>
    </w:p>
    <w:p w14:paraId="62073278"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2. </w:t>
      </w:r>
      <w:r>
        <w:rPr>
          <w:rFonts w:ascii="Times New Roman" w:eastAsia="仿宋_GB2312" w:hAnsi="Times New Roman" w:hint="eastAsia"/>
          <w:sz w:val="32"/>
          <w:szCs w:val="32"/>
        </w:rPr>
        <w:t>绿色低碳发展</w:t>
      </w:r>
    </w:p>
    <w:p w14:paraId="492813F6"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指标说明</w:t>
      </w:r>
      <w:r>
        <w:rPr>
          <w:rFonts w:ascii="Times New Roman" w:eastAsia="仿宋_GB2312" w:hAnsi="Times New Roman" w:hint="eastAsia"/>
          <w:sz w:val="32"/>
          <w:szCs w:val="32"/>
        </w:rPr>
        <w:t>：在推进“公转铁”“公转水”、推广应用清洁能源、更新清洁能源装备、碳排放统计核算和交易等方面实施的有效举措。</w:t>
      </w:r>
    </w:p>
    <w:p w14:paraId="2192B390"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：有效举措数量、具体覆盖的方面。</w:t>
      </w:r>
    </w:p>
    <w:p w14:paraId="13FF6412"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3. </w:t>
      </w:r>
      <w:r>
        <w:rPr>
          <w:rFonts w:ascii="Times New Roman" w:eastAsia="仿宋_GB2312" w:hAnsi="Times New Roman" w:hint="eastAsia"/>
          <w:sz w:val="32"/>
          <w:szCs w:val="32"/>
        </w:rPr>
        <w:t>社会发展贡献</w:t>
      </w:r>
    </w:p>
    <w:p w14:paraId="47AEC853"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lastRenderedPageBreak/>
        <w:t>指标说明</w:t>
      </w:r>
      <w:r>
        <w:rPr>
          <w:rFonts w:ascii="Times New Roman" w:eastAsia="仿宋_GB2312" w:hAnsi="Times New Roman" w:hint="eastAsia"/>
          <w:sz w:val="32"/>
          <w:szCs w:val="32"/>
        </w:rPr>
        <w:t>：在</w:t>
      </w:r>
      <w:proofErr w:type="gramStart"/>
      <w:r>
        <w:rPr>
          <w:rFonts w:ascii="Times New Roman" w:eastAsia="仿宋_GB2312" w:hAnsi="Times New Roman" w:hint="eastAsia"/>
          <w:sz w:val="32"/>
          <w:szCs w:val="32"/>
        </w:rPr>
        <w:t>补链强链</w:t>
      </w:r>
      <w:proofErr w:type="gramEnd"/>
      <w:r>
        <w:rPr>
          <w:rFonts w:ascii="Times New Roman" w:eastAsia="仿宋_GB2312" w:hAnsi="Times New Roman" w:hint="eastAsia"/>
          <w:sz w:val="32"/>
          <w:szCs w:val="32"/>
        </w:rPr>
        <w:t>、保通保畅、应急保障、疫情防控、安全稳定等方面发挥的重要作用，应急物资中转站、接驳点的设置情况。</w:t>
      </w:r>
    </w:p>
    <w:p w14:paraId="1748046D" w14:textId="77777777" w:rsidR="007C6D80" w:rsidRDefault="007C6D80" w:rsidP="007C6D80">
      <w:pPr>
        <w:overflowPunct w:val="0"/>
        <w:spacing w:line="580" w:lineRule="exact"/>
        <w:ind w:firstLineChars="200" w:firstLine="640"/>
        <w:rPr>
          <w:rFonts w:ascii="Times New Roman" w:eastAsia="仿宋_GB2312" w:hAnsi="Times New Roman"/>
          <w:sz w:val="32"/>
          <w:szCs w:val="32"/>
        </w:rPr>
      </w:pPr>
      <w:r>
        <w:rPr>
          <w:rFonts w:ascii="黑体" w:eastAsia="黑体" w:hAnsi="黑体" w:hint="eastAsia"/>
          <w:sz w:val="32"/>
          <w:szCs w:val="32"/>
        </w:rPr>
        <w:t>填报内容</w:t>
      </w:r>
      <w:r>
        <w:rPr>
          <w:rFonts w:ascii="Times New Roman" w:eastAsia="仿宋_GB2312" w:hAnsi="Times New Roman" w:hint="eastAsia"/>
          <w:sz w:val="32"/>
          <w:szCs w:val="32"/>
        </w:rPr>
        <w:t>：有效举措数量、具体覆盖的方面、应急物资中转站和接驳点的累计数量。</w:t>
      </w:r>
    </w:p>
    <w:p w14:paraId="40DE8F22" w14:textId="77777777" w:rsidR="007C6D80" w:rsidRDefault="007C6D80" w:rsidP="007C6D80">
      <w:pPr>
        <w:pStyle w:val="2"/>
        <w:spacing w:line="580" w:lineRule="exact"/>
        <w:ind w:firstLine="640"/>
        <w:rPr>
          <w:sz w:val="32"/>
          <w:szCs w:val="32"/>
        </w:rPr>
      </w:pPr>
    </w:p>
    <w:p w14:paraId="3525D468" w14:textId="77777777" w:rsidR="007C6D80" w:rsidRDefault="007C6D80" w:rsidP="007C6D80">
      <w:pPr>
        <w:pStyle w:val="2"/>
        <w:spacing w:line="580" w:lineRule="exact"/>
        <w:ind w:firstLine="640"/>
      </w:pPr>
      <w:r>
        <w:rPr>
          <w:rFonts w:ascii="仿宋_GB2312" w:eastAsia="仿宋_GB2312" w:hAnsi="仿宋_GB2312" w:cs="仿宋_GB2312" w:hint="eastAsia"/>
          <w:kern w:val="0"/>
          <w:sz w:val="32"/>
          <w:szCs w:val="32"/>
          <w:lang w:bidi="ar"/>
        </w:rPr>
        <w:t>注：标有★的指标为竞争性指标，以部级评价为最终结果，根据全国横向对比结果打分。</w:t>
      </w:r>
    </w:p>
    <w:p w14:paraId="0FD44750" w14:textId="77777777" w:rsidR="009C0563" w:rsidRPr="007C6D80" w:rsidRDefault="00000000"/>
    <w:sectPr w:rsidR="009C0563" w:rsidRPr="007C6D8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81B7" w14:textId="77777777" w:rsidR="008552FA" w:rsidRDefault="008552FA" w:rsidP="007C6D80">
      <w:r>
        <w:separator/>
      </w:r>
    </w:p>
  </w:endnote>
  <w:endnote w:type="continuationSeparator" w:id="0">
    <w:p w14:paraId="1C5035F5" w14:textId="77777777" w:rsidR="008552FA" w:rsidRDefault="008552FA" w:rsidP="007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6B2E" w14:textId="77777777" w:rsidR="007C6D80" w:rsidRDefault="007C6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87804"/>
      <w:docPartObj>
        <w:docPartGallery w:val="Page Numbers (Bottom of Page)"/>
        <w:docPartUnique/>
      </w:docPartObj>
    </w:sdtPr>
    <w:sdtEndPr>
      <w:rPr>
        <w:rFonts w:ascii="宋体" w:hAnsi="宋体"/>
        <w:sz w:val="28"/>
        <w:szCs w:val="28"/>
      </w:rPr>
    </w:sdtEndPr>
    <w:sdtContent>
      <w:p w14:paraId="6F140658" w14:textId="4C45B91D" w:rsidR="007C6D80" w:rsidRPr="00E82FD2" w:rsidRDefault="007C6D80">
        <w:pPr>
          <w:pStyle w:val="a8"/>
          <w:jc w:val="center"/>
          <w:rPr>
            <w:rFonts w:ascii="宋体" w:hAnsi="宋体"/>
            <w:sz w:val="28"/>
            <w:szCs w:val="28"/>
          </w:rPr>
        </w:pPr>
        <w:r w:rsidRPr="00E82FD2">
          <w:rPr>
            <w:rFonts w:ascii="宋体" w:hAnsi="宋体"/>
            <w:sz w:val="28"/>
            <w:szCs w:val="28"/>
          </w:rPr>
          <w:fldChar w:fldCharType="begin"/>
        </w:r>
        <w:r w:rsidRPr="00E82FD2">
          <w:rPr>
            <w:rFonts w:ascii="宋体" w:hAnsi="宋体"/>
            <w:sz w:val="28"/>
            <w:szCs w:val="28"/>
          </w:rPr>
          <w:instrText>PAGE   \* MERGEFORMAT</w:instrText>
        </w:r>
        <w:r w:rsidRPr="00E82FD2">
          <w:rPr>
            <w:rFonts w:ascii="宋体" w:hAnsi="宋体"/>
            <w:sz w:val="28"/>
            <w:szCs w:val="28"/>
          </w:rPr>
          <w:fldChar w:fldCharType="separate"/>
        </w:r>
        <w:r w:rsidRPr="00E82FD2">
          <w:rPr>
            <w:rFonts w:ascii="宋体" w:hAnsi="宋体"/>
            <w:sz w:val="28"/>
            <w:szCs w:val="28"/>
            <w:lang w:val="zh-CN"/>
          </w:rPr>
          <w:t>2</w:t>
        </w:r>
        <w:r w:rsidRPr="00E82FD2">
          <w:rPr>
            <w:rFonts w:ascii="宋体" w:hAnsi="宋体"/>
            <w:sz w:val="28"/>
            <w:szCs w:val="28"/>
          </w:rPr>
          <w:fldChar w:fldCharType="end"/>
        </w:r>
      </w:p>
    </w:sdtContent>
  </w:sdt>
  <w:p w14:paraId="4C6EC7FF" w14:textId="77777777" w:rsidR="007C6D80" w:rsidRDefault="007C6D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3D71" w14:textId="77777777" w:rsidR="007C6D80" w:rsidRDefault="007C6D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0DD1" w14:textId="77777777" w:rsidR="008552FA" w:rsidRDefault="008552FA" w:rsidP="007C6D80">
      <w:r>
        <w:separator/>
      </w:r>
    </w:p>
  </w:footnote>
  <w:footnote w:type="continuationSeparator" w:id="0">
    <w:p w14:paraId="2666A8BE" w14:textId="77777777" w:rsidR="008552FA" w:rsidRDefault="008552FA" w:rsidP="007C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BCD" w14:textId="77777777" w:rsidR="007C6D80" w:rsidRDefault="007C6D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2F6" w14:textId="77777777" w:rsidR="007C6D80" w:rsidRDefault="007C6D80" w:rsidP="007C6D80">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A236" w14:textId="77777777" w:rsidR="007C6D80" w:rsidRDefault="007C6D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80"/>
    <w:rsid w:val="000C464C"/>
    <w:rsid w:val="002F2E35"/>
    <w:rsid w:val="00412374"/>
    <w:rsid w:val="007C6D80"/>
    <w:rsid w:val="008552FA"/>
    <w:rsid w:val="009A10B6"/>
    <w:rsid w:val="00E1670D"/>
    <w:rsid w:val="00E82FD2"/>
    <w:rsid w:val="00F4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5F84"/>
  <w15:chartTrackingRefBased/>
  <w15:docId w15:val="{3224B198-DE98-4658-868C-BECE293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C6D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C6D80"/>
    <w:pPr>
      <w:spacing w:after="120"/>
      <w:ind w:leftChars="200" w:left="420"/>
    </w:pPr>
  </w:style>
  <w:style w:type="character" w:customStyle="1" w:styleId="a4">
    <w:name w:val="正文文本缩进 字符"/>
    <w:basedOn w:val="a0"/>
    <w:link w:val="a3"/>
    <w:uiPriority w:val="99"/>
    <w:semiHidden/>
    <w:rsid w:val="007C6D80"/>
    <w:rPr>
      <w:rFonts w:ascii="Calibri" w:eastAsia="宋体" w:hAnsi="Calibri" w:cs="Times New Roman"/>
      <w:szCs w:val="24"/>
    </w:rPr>
  </w:style>
  <w:style w:type="paragraph" w:styleId="2">
    <w:name w:val="Body Text First Indent 2"/>
    <w:basedOn w:val="a3"/>
    <w:link w:val="20"/>
    <w:unhideWhenUsed/>
    <w:qFormat/>
    <w:rsid w:val="007C6D80"/>
    <w:pPr>
      <w:ind w:firstLineChars="200" w:firstLine="420"/>
    </w:pPr>
  </w:style>
  <w:style w:type="character" w:customStyle="1" w:styleId="20">
    <w:name w:val="正文文本首行缩进 2 字符"/>
    <w:basedOn w:val="a4"/>
    <w:link w:val="2"/>
    <w:rsid w:val="007C6D80"/>
    <w:rPr>
      <w:rFonts w:ascii="Calibri" w:eastAsia="宋体" w:hAnsi="Calibri" w:cs="Times New Roman"/>
      <w:szCs w:val="24"/>
    </w:rPr>
  </w:style>
  <w:style w:type="paragraph" w:styleId="a5">
    <w:name w:val="Normal (Web)"/>
    <w:qFormat/>
    <w:rsid w:val="007C6D80"/>
    <w:pPr>
      <w:spacing w:before="100" w:beforeAutospacing="1" w:after="100" w:afterAutospacing="1"/>
    </w:pPr>
    <w:rPr>
      <w:rFonts w:ascii="宋体" w:eastAsia="宋体" w:hAnsi="宋体" w:cs="Times New Roman"/>
      <w:kern w:val="0"/>
      <w:sz w:val="24"/>
      <w:szCs w:val="24"/>
    </w:rPr>
  </w:style>
  <w:style w:type="paragraph" w:styleId="a6">
    <w:name w:val="header"/>
    <w:basedOn w:val="a"/>
    <w:link w:val="a7"/>
    <w:uiPriority w:val="99"/>
    <w:unhideWhenUsed/>
    <w:rsid w:val="007C6D8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C6D80"/>
    <w:rPr>
      <w:rFonts w:ascii="Calibri" w:eastAsia="宋体" w:hAnsi="Calibri" w:cs="Times New Roman"/>
      <w:sz w:val="18"/>
      <w:szCs w:val="18"/>
    </w:rPr>
  </w:style>
  <w:style w:type="paragraph" w:styleId="a8">
    <w:name w:val="footer"/>
    <w:basedOn w:val="a"/>
    <w:link w:val="a9"/>
    <w:uiPriority w:val="99"/>
    <w:unhideWhenUsed/>
    <w:rsid w:val="007C6D80"/>
    <w:pPr>
      <w:tabs>
        <w:tab w:val="center" w:pos="4153"/>
        <w:tab w:val="right" w:pos="8306"/>
      </w:tabs>
      <w:snapToGrid w:val="0"/>
      <w:jc w:val="left"/>
    </w:pPr>
    <w:rPr>
      <w:sz w:val="18"/>
      <w:szCs w:val="18"/>
    </w:rPr>
  </w:style>
  <w:style w:type="character" w:customStyle="1" w:styleId="a9">
    <w:name w:val="页脚 字符"/>
    <w:basedOn w:val="a0"/>
    <w:link w:val="a8"/>
    <w:uiPriority w:val="99"/>
    <w:rsid w:val="007C6D8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布</dc:creator>
  <cp:keywords/>
  <dc:description/>
  <cp:lastModifiedBy>罗 布</cp:lastModifiedBy>
  <cp:revision>4</cp:revision>
  <dcterms:created xsi:type="dcterms:W3CDTF">2022-07-22T01:48:00Z</dcterms:created>
  <dcterms:modified xsi:type="dcterms:W3CDTF">2022-07-22T02:01:00Z</dcterms:modified>
</cp:coreProperties>
</file>