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spacing w:line="660" w:lineRule="exact"/>
        <w:jc w:val="center"/>
        <w:rPr>
          <w:rFonts w:hint="default" w:ascii="Times New Roman" w:hAnsi="Times New Roman" w:eastAsia="华文中宋" w:cs="Times New Roman"/>
          <w:sz w:val="32"/>
          <w:szCs w:val="32"/>
          <w:lang w:val="en"/>
        </w:rPr>
      </w:pP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中国</w:t>
      </w:r>
      <w:r>
        <w:rPr>
          <w:rFonts w:hint="eastAsia" w:ascii="方正小标宋_GBK" w:hAnsi="方正小标宋_GBK" w:eastAsia="方正小标宋_GBK" w:cs="方正小标宋_GBK"/>
          <w:sz w:val="36"/>
          <w:szCs w:val="32"/>
          <w:lang w:val="en"/>
        </w:rPr>
        <w:t>邮政</w:t>
      </w: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集团有限公司负责人2019年度薪酬情况</w:t>
      </w:r>
    </w:p>
    <w:bookmarkEnd w:id="0"/>
    <w:p>
      <w:pPr>
        <w:spacing w:line="580" w:lineRule="exact"/>
        <w:ind w:firstLine="630"/>
        <w:rPr>
          <w:rFonts w:ascii="Times New Roman" w:hAnsi="Times New Roman" w:eastAsia="黑体" w:cs="Times New Roman"/>
          <w:sz w:val="20"/>
          <w:szCs w:val="32"/>
        </w:rPr>
      </w:pPr>
    </w:p>
    <w:tbl>
      <w:tblPr>
        <w:tblStyle w:val="5"/>
        <w:tblW w:w="97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694"/>
        <w:gridCol w:w="1842"/>
        <w:gridCol w:w="714"/>
        <w:gridCol w:w="1271"/>
        <w:gridCol w:w="855"/>
        <w:gridCol w:w="851"/>
        <w:gridCol w:w="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任职起止时间</w:t>
            </w:r>
          </w:p>
        </w:tc>
        <w:tc>
          <w:tcPr>
            <w:tcW w:w="2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年度从本公司获得的税前报酬情况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是否在股东单位或其他关联方领取薪酬</w:t>
            </w:r>
          </w:p>
        </w:tc>
        <w:tc>
          <w:tcPr>
            <w:tcW w:w="7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在关联方领取的税前薪酬总额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应付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年薪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社会保险、企业年金、补充医疗保险及住房公积金的单位缴存部分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其他货币性收入（注明具体项目并分列）</w:t>
            </w:r>
          </w:p>
        </w:tc>
        <w:tc>
          <w:tcPr>
            <w:tcW w:w="8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刘爱力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董事长、党组书记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8.7-至今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77.12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16.48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张金良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董事、总经理、党组副书记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8.8-至今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77.12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15.71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李丕征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董事、党组副书记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0-2022.3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69.41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16.88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康宁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2.2-至今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69.41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16.82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盛遒文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中央纪委国家监委驻邮政集团纪检监察组组长、党组成员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69.41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15.35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温少祺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.2-至今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57.84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11.75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郭成林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总会计师、党组成员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.9-至今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17.35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3.77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李雄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原副总经理、党组成员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4.8-2019.2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17.35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4.31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张荣林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原副总经理、党组成员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2.2-2020.3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69.41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17.06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郭新双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原副总经理、党组成员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0-2020.</w:t>
            </w: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11.57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2.63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560" w:lineRule="exact"/>
        <w:ind w:left="960" w:hanging="960" w:hangingChars="400"/>
        <w:jc w:val="lef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备注：1.上表披露薪酬为</w:t>
      </w:r>
      <w:r>
        <w:rPr>
          <w:rFonts w:hint="eastAsia" w:ascii="仿宋_GB2312" w:hAnsi="仿宋_GB2312" w:eastAsia="仿宋_GB2312" w:cs="仿宋_GB2312"/>
          <w:sz w:val="24"/>
          <w:szCs w:val="32"/>
          <w:lang w:val="en"/>
        </w:rPr>
        <w:t>中国邮政集团有限公司</w:t>
      </w:r>
      <w:r>
        <w:rPr>
          <w:rFonts w:hint="eastAsia" w:ascii="仿宋_GB2312" w:hAnsi="仿宋_GB2312" w:eastAsia="仿宋_GB2312" w:cs="仿宋_GB2312"/>
          <w:sz w:val="24"/>
          <w:szCs w:val="32"/>
        </w:rPr>
        <w:t>负责人报告期内全部应发税前薪酬（不含发放的以往年度绩效年薪）。其中“应付年薪”由财政部核定。</w:t>
      </w:r>
    </w:p>
    <w:p>
      <w:pPr>
        <w:numPr>
          <w:ilvl w:val="0"/>
          <w:numId w:val="1"/>
        </w:numPr>
        <w:spacing w:line="560" w:lineRule="exact"/>
        <w:ind w:left="958" w:leftChars="342" w:hanging="240" w:hangingChars="1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上表社会保险包含了基本养老保险、基本医疗保险、生育保险、工伤保险、失业保险等单位缴存部分。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A79353"/>
    <w:multiLevelType w:val="singleLevel"/>
    <w:tmpl w:val="EFA7935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03"/>
    <w:rsid w:val="000305BF"/>
    <w:rsid w:val="00085F03"/>
    <w:rsid w:val="00101687"/>
    <w:rsid w:val="001064E4"/>
    <w:rsid w:val="00163602"/>
    <w:rsid w:val="001A3804"/>
    <w:rsid w:val="00207884"/>
    <w:rsid w:val="00225551"/>
    <w:rsid w:val="002508B2"/>
    <w:rsid w:val="00261B06"/>
    <w:rsid w:val="00414FBC"/>
    <w:rsid w:val="004571C0"/>
    <w:rsid w:val="004A0D07"/>
    <w:rsid w:val="004C66E7"/>
    <w:rsid w:val="004E6139"/>
    <w:rsid w:val="005B7AD8"/>
    <w:rsid w:val="006808F6"/>
    <w:rsid w:val="00744EA2"/>
    <w:rsid w:val="007953B0"/>
    <w:rsid w:val="0082071B"/>
    <w:rsid w:val="00880282"/>
    <w:rsid w:val="008A6130"/>
    <w:rsid w:val="008F1B94"/>
    <w:rsid w:val="009B5666"/>
    <w:rsid w:val="009F3CB8"/>
    <w:rsid w:val="00AA4D01"/>
    <w:rsid w:val="00AD7EAD"/>
    <w:rsid w:val="00B11991"/>
    <w:rsid w:val="00C14771"/>
    <w:rsid w:val="00C9230B"/>
    <w:rsid w:val="00D96461"/>
    <w:rsid w:val="00E06EF2"/>
    <w:rsid w:val="00E776FC"/>
    <w:rsid w:val="00F12372"/>
    <w:rsid w:val="00F170FF"/>
    <w:rsid w:val="00F92619"/>
    <w:rsid w:val="00FD0DA2"/>
    <w:rsid w:val="2F7DDE53"/>
    <w:rsid w:val="3D6F1249"/>
    <w:rsid w:val="57392888"/>
    <w:rsid w:val="5FFF2A2A"/>
    <w:rsid w:val="6DCD73A1"/>
    <w:rsid w:val="7BEE5940"/>
    <w:rsid w:val="7D7F0427"/>
    <w:rsid w:val="A7C7F7A8"/>
    <w:rsid w:val="B8EF1A7C"/>
    <w:rsid w:val="F3EBC2B8"/>
    <w:rsid w:val="FAFE8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798</Characters>
  <Lines>6</Lines>
  <Paragraphs>1</Paragraphs>
  <TotalTime>3</TotalTime>
  <ScaleCrop>false</ScaleCrop>
  <LinksUpToDate>false</LinksUpToDate>
  <CharactersWithSpaces>936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2019-01-21T04:30:00Z</dcterms:created>
  <dc:creator>王楠木</dc:creator>
  <cp:lastModifiedBy>Admin</cp:lastModifiedBy>
  <cp:lastPrinted>2018-03-31T16:39:00Z</cp:lastPrinted>
  <dcterms:modified xsi:type="dcterms:W3CDTF">2022-04-11T17:27:58Z</dcterms:modified>
  <dc:title>关于披露中国邮政集团有限公司负责人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